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D3B" w:rsidRPr="004E1D3B" w:rsidRDefault="004E1D3B" w:rsidP="004E1D3B">
      <w:pPr>
        <w:jc w:val="center"/>
        <w:rPr>
          <w:b/>
          <w:sz w:val="28"/>
          <w:szCs w:val="28"/>
        </w:rPr>
      </w:pPr>
      <w:r w:rsidRPr="004E1D3B">
        <w:rPr>
          <w:rFonts w:hint="eastAsia"/>
          <w:b/>
          <w:sz w:val="28"/>
          <w:szCs w:val="28"/>
        </w:rPr>
        <w:t>沒有改善，就沒有公平</w:t>
      </w:r>
      <w:r w:rsidRPr="004E1D3B">
        <w:rPr>
          <w:rFonts w:asciiTheme="minorEastAsia" w:hAnsiTheme="minorEastAsia" w:hint="eastAsia"/>
          <w:b/>
          <w:sz w:val="28"/>
          <w:szCs w:val="28"/>
        </w:rPr>
        <w:t>！</w:t>
      </w:r>
    </w:p>
    <w:p w:rsidR="00E240CD" w:rsidRPr="004E1D3B" w:rsidRDefault="0076061C" w:rsidP="004E1D3B">
      <w:pPr>
        <w:jc w:val="center"/>
        <w:rPr>
          <w:b/>
          <w:sz w:val="28"/>
          <w:szCs w:val="28"/>
        </w:rPr>
      </w:pPr>
      <w:r w:rsidRPr="004E1D3B">
        <w:rPr>
          <w:rFonts w:hint="eastAsia"/>
          <w:b/>
          <w:sz w:val="28"/>
          <w:szCs w:val="28"/>
        </w:rPr>
        <w:t>高教工會「</w:t>
      </w:r>
      <w:r w:rsidR="003E7338" w:rsidRPr="004E1D3B">
        <w:rPr>
          <w:rFonts w:hint="eastAsia"/>
          <w:b/>
          <w:sz w:val="28"/>
          <w:szCs w:val="28"/>
        </w:rPr>
        <w:t>私立大專教師年金改善方案</w:t>
      </w:r>
      <w:r w:rsidRPr="004E1D3B">
        <w:rPr>
          <w:rFonts w:hint="eastAsia"/>
          <w:b/>
          <w:sz w:val="28"/>
          <w:szCs w:val="28"/>
        </w:rPr>
        <w:t>」</w:t>
      </w:r>
      <w:r w:rsidR="003E7338" w:rsidRPr="004E1D3B">
        <w:rPr>
          <w:rFonts w:hint="eastAsia"/>
          <w:b/>
          <w:sz w:val="28"/>
          <w:szCs w:val="28"/>
        </w:rPr>
        <w:t>出爐</w:t>
      </w:r>
      <w:r w:rsidR="003E7338" w:rsidRPr="004E1D3B">
        <w:rPr>
          <w:rFonts w:asciiTheme="minorEastAsia" w:hAnsiTheme="minorEastAsia" w:hint="eastAsia"/>
          <w:b/>
          <w:sz w:val="28"/>
          <w:szCs w:val="28"/>
        </w:rPr>
        <w:t>！</w:t>
      </w:r>
    </w:p>
    <w:p w:rsidR="0076061C" w:rsidRDefault="0076061C" w:rsidP="004E1D3B">
      <w:pPr>
        <w:jc w:val="center"/>
      </w:pPr>
      <w:r>
        <w:rPr>
          <w:rFonts w:hint="eastAsia"/>
        </w:rPr>
        <w:t>0317</w:t>
      </w:r>
      <w:r w:rsidR="002B17A7">
        <w:rPr>
          <w:rFonts w:hint="eastAsia"/>
        </w:rPr>
        <w:t>新聞稿</w:t>
      </w:r>
    </w:p>
    <w:p w:rsidR="0076061C" w:rsidRDefault="0076061C"/>
    <w:p w:rsidR="0076061C" w:rsidRDefault="00B8069F">
      <w:pPr>
        <w:rPr>
          <w:rFonts w:asciiTheme="minorEastAsia" w:hAnsiTheme="minorEastAsia"/>
        </w:rPr>
      </w:pPr>
      <w:r>
        <w:rPr>
          <w:rFonts w:hint="eastAsia"/>
        </w:rPr>
        <w:t xml:space="preserve">    </w:t>
      </w:r>
      <w:r w:rsidR="004D4103">
        <w:rPr>
          <w:rFonts w:hint="eastAsia"/>
        </w:rPr>
        <w:t>針對政府主導的年金改革，至今僅有「</w:t>
      </w:r>
      <w:proofErr w:type="gramStart"/>
      <w:r w:rsidR="004D4103">
        <w:rPr>
          <w:rFonts w:hint="eastAsia"/>
        </w:rPr>
        <w:t>改惡</w:t>
      </w:r>
      <w:proofErr w:type="gramEnd"/>
      <w:r w:rsidR="004D4103">
        <w:rPr>
          <w:rFonts w:hint="eastAsia"/>
        </w:rPr>
        <w:t>」卻無「改善」，</w:t>
      </w:r>
      <w:r w:rsidR="004D4103">
        <w:rPr>
          <w:rFonts w:hint="eastAsia"/>
        </w:rPr>
        <w:t>17</w:t>
      </w:r>
      <w:r w:rsidR="004D4103">
        <w:rPr>
          <w:rFonts w:hint="eastAsia"/>
        </w:rPr>
        <w:t>日上午高教工會偕同私立大專教師代表召開記者會，</w:t>
      </w:r>
      <w:r w:rsidR="004D4103">
        <w:rPr>
          <w:rFonts w:asciiTheme="minorEastAsia" w:hAnsiTheme="minorEastAsia" w:hint="eastAsia"/>
        </w:rPr>
        <w:t>公佈工會版的</w:t>
      </w:r>
      <w:r w:rsidR="004D4103" w:rsidRPr="004D4103">
        <w:rPr>
          <w:rFonts w:asciiTheme="minorEastAsia" w:hAnsiTheme="minorEastAsia" w:hint="eastAsia"/>
        </w:rPr>
        <w:t>「私立大專教師年金改善方案」</w:t>
      </w:r>
      <w:r w:rsidR="004D4103">
        <w:rPr>
          <w:rFonts w:asciiTheme="minorEastAsia" w:hAnsiTheme="minorEastAsia" w:hint="eastAsia"/>
        </w:rPr>
        <w:t>，要求私立大專教師退休年金</w:t>
      </w:r>
      <w:r w:rsidR="004D4103">
        <w:rPr>
          <w:rFonts w:hint="eastAsia"/>
        </w:rPr>
        <w:t>至少先比照勞工向上改革，</w:t>
      </w:r>
      <w:proofErr w:type="gramStart"/>
      <w:r w:rsidR="004D4103">
        <w:rPr>
          <w:rFonts w:hint="eastAsia"/>
        </w:rPr>
        <w:t>拉近私校</w:t>
      </w:r>
      <w:proofErr w:type="gramEnd"/>
      <w:r w:rsidR="004D4103">
        <w:rPr>
          <w:rFonts w:hint="eastAsia"/>
        </w:rPr>
        <w:t>與公校大專教師的年金差距。要有成功的年金改革，「</w:t>
      </w:r>
      <w:r w:rsidR="004D4103" w:rsidRPr="004D4103">
        <w:rPr>
          <w:rFonts w:asciiTheme="minorEastAsia" w:hAnsiTheme="minorEastAsia" w:hint="eastAsia"/>
        </w:rPr>
        <w:t>沒有改善，就沒有公平！</w:t>
      </w:r>
      <w:r w:rsidR="004D4103">
        <w:rPr>
          <w:rFonts w:asciiTheme="minorEastAsia" w:hAnsiTheme="minorEastAsia" w:hint="eastAsia"/>
        </w:rPr>
        <w:t>」</w:t>
      </w:r>
    </w:p>
    <w:p w:rsidR="00927BE5" w:rsidRDefault="00927BE5">
      <w:pPr>
        <w:rPr>
          <w:rFonts w:asciiTheme="minorEastAsia" w:hAnsiTheme="minorEastAsia"/>
        </w:rPr>
      </w:pPr>
    </w:p>
    <w:p w:rsidR="00927BE5" w:rsidRDefault="00927BE5">
      <w:r>
        <w:rPr>
          <w:rFonts w:asciiTheme="minorEastAsia" w:hAnsiTheme="minorEastAsia" w:hint="eastAsia"/>
        </w:rPr>
        <w:t xml:space="preserve">    </w:t>
      </w:r>
      <w:r w:rsidR="009A5BF8">
        <w:rPr>
          <w:rFonts w:asciiTheme="minorEastAsia" w:hAnsiTheme="minorEastAsia" w:hint="eastAsia"/>
        </w:rPr>
        <w:t>現行大專院校教師年金的問題核心在於公校、私校落差過大，私立大專</w:t>
      </w:r>
      <w:r>
        <w:rPr>
          <w:rFonts w:asciiTheme="minorEastAsia" w:hAnsiTheme="minorEastAsia" w:hint="eastAsia"/>
        </w:rPr>
        <w:t>教師退休後的所得替代率為各職業</w:t>
      </w:r>
      <w:r w:rsidR="009A5BF8">
        <w:rPr>
          <w:rFonts w:asciiTheme="minorEastAsia" w:hAnsiTheme="minorEastAsia" w:hint="eastAsia"/>
        </w:rPr>
        <w:t>身分</w:t>
      </w:r>
      <w:r>
        <w:rPr>
          <w:rFonts w:asciiTheme="minorEastAsia" w:hAnsiTheme="minorEastAsia" w:hint="eastAsia"/>
        </w:rPr>
        <w:t>別中最差，約僅有30%</w:t>
      </w:r>
      <w:r w:rsidR="009A5BF8">
        <w:rPr>
          <w:rFonts w:asciiTheme="minorEastAsia" w:hAnsiTheme="minorEastAsia" w:hint="eastAsia"/>
        </w:rPr>
        <w:t>；少子女化浪潮導致</w:t>
      </w:r>
      <w:r>
        <w:rPr>
          <w:rFonts w:asciiTheme="minorEastAsia" w:hAnsiTheme="minorEastAsia" w:hint="eastAsia"/>
        </w:rPr>
        <w:t>大量強制退休與資遣，更使私校教師晚年缺乏保障。然而，截至目前為止，政府聲稱要推動年金改革，卻毫無方案要改善私校教師面臨的窘境。</w:t>
      </w:r>
    </w:p>
    <w:p w:rsidR="00227FDD" w:rsidRDefault="002B17A7" w:rsidP="002B17A7">
      <w:pPr>
        <w:spacing w:beforeLines="50" w:before="180" w:afterLines="50" w:after="180"/>
      </w:pPr>
      <w:r>
        <w:rPr>
          <w:rFonts w:hint="eastAsia"/>
        </w:rPr>
        <w:t xml:space="preserve">    </w:t>
      </w:r>
      <w:r>
        <w:rPr>
          <w:rFonts w:hint="eastAsia"/>
        </w:rPr>
        <w:t>高教工會提出之</w:t>
      </w:r>
      <w:r w:rsidRPr="004D4103">
        <w:rPr>
          <w:rFonts w:asciiTheme="minorEastAsia" w:hAnsiTheme="minorEastAsia" w:hint="eastAsia"/>
        </w:rPr>
        <w:t>「私立大專教師年金改善方案」</w:t>
      </w:r>
      <w:r>
        <w:rPr>
          <w:rFonts w:asciiTheme="minorEastAsia" w:hAnsiTheme="minorEastAsia" w:hint="eastAsia"/>
        </w:rPr>
        <w:t>內容為</w:t>
      </w:r>
      <w:r>
        <w:rPr>
          <w:rFonts w:hint="eastAsia"/>
        </w:rPr>
        <w:t>：修改私立大專教師適用之《公教人員保險法》之養老年金給付之給付率，自現行之每年資給付</w:t>
      </w:r>
      <w:r>
        <w:t>1.3%</w:t>
      </w:r>
      <w:r>
        <w:rPr>
          <w:rFonts w:hint="eastAsia"/>
        </w:rPr>
        <w:t>，比照勞工保險給付率提升為每年資給付</w:t>
      </w:r>
      <w:r>
        <w:t>1.55%</w:t>
      </w:r>
      <w:r>
        <w:rPr>
          <w:rFonts w:hint="eastAsia"/>
        </w:rPr>
        <w:t>，以及修改《私校退撫條例》之退撫基金</w:t>
      </w:r>
      <w:proofErr w:type="gramStart"/>
      <w:r>
        <w:rPr>
          <w:rFonts w:hint="eastAsia"/>
        </w:rPr>
        <w:t>提撥</w:t>
      </w:r>
      <w:proofErr w:type="gramEnd"/>
      <w:r>
        <w:rPr>
          <w:rFonts w:hint="eastAsia"/>
        </w:rPr>
        <w:t>率自</w:t>
      </w:r>
      <w:r>
        <w:t>12%</w:t>
      </w:r>
      <w:r>
        <w:rPr>
          <w:rFonts w:hint="eastAsia"/>
        </w:rPr>
        <w:t>提高為</w:t>
      </w:r>
      <w:r>
        <w:t>18%</w:t>
      </w:r>
      <w:r>
        <w:rPr>
          <w:rFonts w:hint="eastAsia"/>
        </w:rPr>
        <w:t>，使學校須承擔之退撫</w:t>
      </w:r>
      <w:proofErr w:type="gramStart"/>
      <w:r>
        <w:rPr>
          <w:rFonts w:hint="eastAsia"/>
        </w:rPr>
        <w:t>提撥</w:t>
      </w:r>
      <w:proofErr w:type="gramEnd"/>
      <w:r>
        <w:rPr>
          <w:rFonts w:hint="eastAsia"/>
        </w:rPr>
        <w:t>費率，接近現行勞工退休金之雇主強制</w:t>
      </w:r>
      <w:proofErr w:type="gramStart"/>
      <w:r>
        <w:rPr>
          <w:rFonts w:hint="eastAsia"/>
        </w:rPr>
        <w:t>提撥</w:t>
      </w:r>
      <w:proofErr w:type="gramEnd"/>
      <w:r w:rsidR="003960CA">
        <w:rPr>
          <w:rFonts w:hint="eastAsia"/>
        </w:rPr>
        <w:t>費率（</w:t>
      </w:r>
      <w:r w:rsidR="003960CA">
        <w:rPr>
          <w:rFonts w:hint="eastAsia"/>
        </w:rPr>
        <w:t>6%</w:t>
      </w:r>
      <w:r w:rsidR="003960CA">
        <w:rPr>
          <w:rFonts w:hint="eastAsia"/>
        </w:rPr>
        <w:t>）</w:t>
      </w:r>
      <w:r>
        <w:rPr>
          <w:rFonts w:hint="eastAsia"/>
        </w:rPr>
        <w:t>。</w:t>
      </w:r>
    </w:p>
    <w:p w:rsidR="002B17A7" w:rsidRPr="004D4103" w:rsidRDefault="00227FDD" w:rsidP="002B17A7">
      <w:pPr>
        <w:spacing w:beforeLines="50" w:before="180" w:afterLines="50" w:after="180"/>
      </w:pPr>
      <w:r>
        <w:rPr>
          <w:rFonts w:hint="eastAsia"/>
        </w:rPr>
        <w:t xml:space="preserve">    </w:t>
      </w:r>
      <w:r>
        <w:rPr>
          <w:rFonts w:hint="eastAsia"/>
        </w:rPr>
        <w:t>工會主張，</w:t>
      </w:r>
      <w:r w:rsidR="002B17A7">
        <w:rPr>
          <w:rFonts w:hint="eastAsia"/>
        </w:rPr>
        <w:t>此二改革將可一定改善私校大專教職員之退休年金水準與所得替代率，拉近與公校大專教職員之差距，但又不須擔負過高之財政壓力。該改革方案對於現行有六成任職於私校之大專院校教職員有明顯的迫切性，應當為有關單位優先規劃考量之修法或政策提案。</w:t>
      </w:r>
    </w:p>
    <w:p w:rsidR="00ED56C5" w:rsidRDefault="00B8069F">
      <w:r>
        <w:rPr>
          <w:rFonts w:hint="eastAsia"/>
        </w:rPr>
        <w:t xml:space="preserve">    </w:t>
      </w:r>
      <w:r w:rsidR="003E7338">
        <w:rPr>
          <w:rFonts w:hint="eastAsia"/>
        </w:rPr>
        <w:t>高教工會</w:t>
      </w:r>
      <w:r w:rsidR="004D4103">
        <w:rPr>
          <w:rFonts w:hint="eastAsia"/>
        </w:rPr>
        <w:t>並</w:t>
      </w:r>
      <w:r w:rsidR="00227FDD">
        <w:rPr>
          <w:rFonts w:hint="eastAsia"/>
        </w:rPr>
        <w:t>提出財務評估</w:t>
      </w:r>
      <w:r w:rsidR="003E7338">
        <w:rPr>
          <w:rFonts w:hint="eastAsia"/>
        </w:rPr>
        <w:t>報告指出，「私立大專教師年金改善方案」每年僅需增加</w:t>
      </w:r>
      <w:r w:rsidR="003E7338">
        <w:rPr>
          <w:rFonts w:hint="eastAsia"/>
        </w:rPr>
        <w:t>15</w:t>
      </w:r>
      <w:r w:rsidR="00227FDD">
        <w:rPr>
          <w:rFonts w:hint="eastAsia"/>
        </w:rPr>
        <w:t>.6</w:t>
      </w:r>
      <w:r w:rsidR="003E7338">
        <w:rPr>
          <w:rFonts w:hint="eastAsia"/>
        </w:rPr>
        <w:t>億左右的預算，</w:t>
      </w:r>
      <w:r w:rsidR="002B17A7">
        <w:rPr>
          <w:rFonts w:hint="eastAsia"/>
        </w:rPr>
        <w:t>分別包括私校教師適用之公保養老年金給付</w:t>
      </w:r>
      <w:r w:rsidR="00227FDD">
        <w:rPr>
          <w:rFonts w:hint="eastAsia"/>
        </w:rPr>
        <w:t>率提升，政府須多負擔約</w:t>
      </w:r>
      <w:r w:rsidR="00227FDD">
        <w:rPr>
          <w:rFonts w:hint="eastAsia"/>
        </w:rPr>
        <w:t>8.7</w:t>
      </w:r>
      <w:r w:rsidR="00227FDD">
        <w:rPr>
          <w:rFonts w:hint="eastAsia"/>
        </w:rPr>
        <w:t>億</w:t>
      </w:r>
      <w:r w:rsidR="002B17A7">
        <w:rPr>
          <w:rFonts w:hint="eastAsia"/>
        </w:rPr>
        <w:t>，以及私校</w:t>
      </w:r>
      <w:r w:rsidR="00227FDD">
        <w:rPr>
          <w:rFonts w:hint="eastAsia"/>
        </w:rPr>
        <w:t>退撫儲金</w:t>
      </w:r>
      <w:proofErr w:type="gramStart"/>
      <w:r w:rsidR="00227FDD">
        <w:rPr>
          <w:rFonts w:hint="eastAsia"/>
        </w:rPr>
        <w:t>提撥</w:t>
      </w:r>
      <w:proofErr w:type="gramEnd"/>
      <w:r w:rsidR="00227FDD">
        <w:rPr>
          <w:rFonts w:hint="eastAsia"/>
        </w:rPr>
        <w:t>率增加，政府須多負擔約</w:t>
      </w:r>
      <w:r w:rsidR="00227FDD">
        <w:rPr>
          <w:rFonts w:hint="eastAsia"/>
        </w:rPr>
        <w:t>6.9</w:t>
      </w:r>
      <w:r w:rsidR="00227FDD">
        <w:rPr>
          <w:rFonts w:hint="eastAsia"/>
        </w:rPr>
        <w:t>億，</w:t>
      </w:r>
      <w:r w:rsidR="003E7338">
        <w:rPr>
          <w:rFonts w:hint="eastAsia"/>
        </w:rPr>
        <w:t>財務上絕對可行，卻能夠大幅</w:t>
      </w:r>
      <w:proofErr w:type="gramStart"/>
      <w:r w:rsidR="003E7338">
        <w:rPr>
          <w:rFonts w:hint="eastAsia"/>
        </w:rPr>
        <w:t>拉近私校</w:t>
      </w:r>
      <w:proofErr w:type="gramEnd"/>
      <w:r w:rsidR="003E7338">
        <w:rPr>
          <w:rFonts w:hint="eastAsia"/>
        </w:rPr>
        <w:t>與公校大專教師的年金差距，有助整體高等教育的體質健全</w:t>
      </w:r>
      <w:r w:rsidR="004D4103">
        <w:rPr>
          <w:rFonts w:hint="eastAsia"/>
        </w:rPr>
        <w:t>與公平正義</w:t>
      </w:r>
      <w:r w:rsidR="003E7338">
        <w:rPr>
          <w:rFonts w:hint="eastAsia"/>
        </w:rPr>
        <w:t>。</w:t>
      </w:r>
    </w:p>
    <w:p w:rsidR="00227FDD" w:rsidRPr="00227FDD" w:rsidRDefault="00227FDD"/>
    <w:p w:rsidR="0076061C" w:rsidRPr="0076061C" w:rsidRDefault="00B8069F">
      <w:r>
        <w:rPr>
          <w:rFonts w:hint="eastAsia"/>
        </w:rPr>
        <w:t xml:space="preserve">    </w:t>
      </w:r>
      <w:r w:rsidR="00ED56C5">
        <w:rPr>
          <w:rFonts w:hint="eastAsia"/>
        </w:rPr>
        <w:t>高教工會</w:t>
      </w:r>
      <w:r w:rsidR="0076061C">
        <w:rPr>
          <w:rFonts w:hint="eastAsia"/>
        </w:rPr>
        <w:t>將</w:t>
      </w:r>
      <w:r w:rsidR="00ED56C5">
        <w:rPr>
          <w:rFonts w:hint="eastAsia"/>
        </w:rPr>
        <w:t>於記者會後，</w:t>
      </w:r>
      <w:r w:rsidR="003E7338">
        <w:rPr>
          <w:rFonts w:hint="eastAsia"/>
        </w:rPr>
        <w:t>把</w:t>
      </w:r>
      <w:r w:rsidR="004D4103">
        <w:rPr>
          <w:rFonts w:hint="eastAsia"/>
        </w:rPr>
        <w:t>「改善方案」</w:t>
      </w:r>
      <w:r w:rsidR="0076061C">
        <w:rPr>
          <w:rFonts w:hint="eastAsia"/>
        </w:rPr>
        <w:t>發送至立院各黨黨團，積極要求各立法委員主動</w:t>
      </w:r>
      <w:r w:rsidR="003E7338">
        <w:rPr>
          <w:rFonts w:hint="eastAsia"/>
        </w:rPr>
        <w:t>提案，</w:t>
      </w:r>
      <w:r w:rsidR="0076061C">
        <w:rPr>
          <w:rFonts w:hint="eastAsia"/>
        </w:rPr>
        <w:t>將私校教師年金改革方案納入</w:t>
      </w:r>
      <w:r w:rsidR="004D4103">
        <w:rPr>
          <w:rFonts w:hint="eastAsia"/>
        </w:rPr>
        <w:t>。</w:t>
      </w:r>
    </w:p>
    <w:p w:rsidR="0076061C" w:rsidRPr="00ED56C5" w:rsidRDefault="0076061C"/>
    <w:p w:rsidR="0076061C" w:rsidRDefault="00B8069F">
      <w:r>
        <w:rPr>
          <w:rFonts w:hint="eastAsia"/>
        </w:rPr>
        <w:t xml:space="preserve">    </w:t>
      </w:r>
      <w:r w:rsidR="0076061C">
        <w:rPr>
          <w:rFonts w:hint="eastAsia"/>
        </w:rPr>
        <w:t>現場將有高教工會私校教師代表出席，表達「年金改革不應只有減法，沒有加法</w:t>
      </w:r>
      <w:r w:rsidR="0076061C">
        <w:rPr>
          <w:rFonts w:asciiTheme="minorEastAsia" w:hAnsiTheme="minorEastAsia" w:hint="eastAsia"/>
        </w:rPr>
        <w:t>！</w:t>
      </w:r>
      <w:r w:rsidR="0076061C">
        <w:rPr>
          <w:rFonts w:hint="eastAsia"/>
        </w:rPr>
        <w:t>」對於長年來退休金年偏低、所得替代率是各職業類別中最低的私</w:t>
      </w:r>
      <w:r w:rsidR="003E7338">
        <w:rPr>
          <w:rFonts w:hint="eastAsia"/>
        </w:rPr>
        <w:t>立大專教師</w:t>
      </w:r>
      <w:r w:rsidR="0076061C">
        <w:rPr>
          <w:rFonts w:hint="eastAsia"/>
        </w:rPr>
        <w:t>，應當合理改善。</w:t>
      </w:r>
      <w:r w:rsidR="00ED56C5">
        <w:rPr>
          <w:rFonts w:hint="eastAsia"/>
        </w:rPr>
        <w:t>倘若此一顯然可行的「改善方案」政府仍毫不理會，私校教師必將採取進一步的行動，抗議毫無改善、無助公平的年金改革。</w:t>
      </w:r>
    </w:p>
    <w:p w:rsidR="0076061C" w:rsidRPr="00ED56C5" w:rsidRDefault="0076061C"/>
    <w:p w:rsidR="0076061C" w:rsidRDefault="0076061C">
      <w:r>
        <w:rPr>
          <w:rFonts w:hint="eastAsia"/>
        </w:rPr>
        <w:t>新聞聯絡人</w:t>
      </w:r>
    </w:p>
    <w:p w:rsidR="0076061C" w:rsidRDefault="0076061C">
      <w:r>
        <w:rPr>
          <w:rFonts w:hint="eastAsia"/>
        </w:rPr>
        <w:t>陳政亮</w:t>
      </w:r>
      <w:r w:rsidR="0005432A">
        <w:rPr>
          <w:rFonts w:ascii="新細明體" w:eastAsia="新細明體" w:hAnsi="新細明體" w:hint="eastAsia"/>
        </w:rPr>
        <w:t>（</w:t>
      </w:r>
      <w:r w:rsidR="0005432A">
        <w:rPr>
          <w:rFonts w:hint="eastAsia"/>
        </w:rPr>
        <w:t>高教工會秘書長</w:t>
      </w:r>
      <w:r w:rsidR="0005432A">
        <w:rPr>
          <w:rFonts w:ascii="新細明體" w:eastAsia="新細明體" w:hAnsi="新細明體" w:hint="eastAsia"/>
        </w:rPr>
        <w:t>）</w:t>
      </w:r>
      <w:r>
        <w:rPr>
          <w:rFonts w:hint="eastAsia"/>
        </w:rPr>
        <w:t>0929359768</w:t>
      </w:r>
    </w:p>
    <w:p w:rsidR="002B17A7" w:rsidRDefault="0076061C">
      <w:r>
        <w:rPr>
          <w:rFonts w:hint="eastAsia"/>
        </w:rPr>
        <w:t>陳柏謙</w:t>
      </w:r>
      <w:r w:rsidR="0005432A">
        <w:rPr>
          <w:rFonts w:ascii="新細明體" w:eastAsia="新細明體" w:hAnsi="新細明體" w:hint="eastAsia"/>
        </w:rPr>
        <w:t>（</w:t>
      </w:r>
      <w:r w:rsidR="0005432A">
        <w:rPr>
          <w:rFonts w:hint="eastAsia"/>
        </w:rPr>
        <w:t>高教工會研究員</w:t>
      </w:r>
      <w:r w:rsidR="0005432A">
        <w:rPr>
          <w:rFonts w:ascii="新細明體" w:eastAsia="新細明體" w:hAnsi="新細明體" w:hint="eastAsia"/>
        </w:rPr>
        <w:t>）</w:t>
      </w:r>
      <w:r>
        <w:rPr>
          <w:rFonts w:hint="eastAsia"/>
        </w:rPr>
        <w:t>0911678400</w:t>
      </w:r>
    </w:p>
    <w:p w:rsidR="002B17A7" w:rsidRDefault="002B17A7">
      <w:pPr>
        <w:widowControl/>
      </w:pPr>
      <w:r>
        <w:br w:type="page"/>
      </w:r>
    </w:p>
    <w:p w:rsidR="002B17A7" w:rsidRDefault="009A5BF8" w:rsidP="002B17A7">
      <w:pPr>
        <w:spacing w:beforeLines="50" w:before="180" w:afterLines="50" w:after="180"/>
        <w:jc w:val="center"/>
        <w:rPr>
          <w:b/>
          <w:sz w:val="32"/>
        </w:rPr>
      </w:pPr>
      <w:r>
        <w:rPr>
          <w:rFonts w:hint="eastAsia"/>
          <w:b/>
          <w:sz w:val="32"/>
        </w:rPr>
        <w:lastRenderedPageBreak/>
        <w:t>私立大專教師年金改善</w:t>
      </w:r>
      <w:r w:rsidR="002B17A7">
        <w:rPr>
          <w:rFonts w:hint="eastAsia"/>
          <w:b/>
          <w:sz w:val="32"/>
        </w:rPr>
        <w:t>方案</w:t>
      </w:r>
    </w:p>
    <w:p w:rsidR="002B17A7" w:rsidRPr="002A16BB" w:rsidRDefault="002B17A7" w:rsidP="002B17A7">
      <w:pPr>
        <w:pStyle w:val="a3"/>
        <w:spacing w:beforeLines="50" w:before="180" w:afterLines="50" w:after="180"/>
        <w:ind w:leftChars="0" w:left="360"/>
        <w:jc w:val="center"/>
        <w:rPr>
          <w:b/>
        </w:rPr>
      </w:pPr>
      <w:r w:rsidRPr="002A16BB">
        <w:rPr>
          <w:rFonts w:hint="eastAsia"/>
          <w:b/>
        </w:rPr>
        <w:t>台灣高等教育產業工會</w:t>
      </w:r>
    </w:p>
    <w:p w:rsidR="002B17A7" w:rsidRPr="002A16BB" w:rsidRDefault="002B17A7" w:rsidP="002B17A7">
      <w:pPr>
        <w:pStyle w:val="a3"/>
        <w:spacing w:beforeLines="50" w:before="180" w:afterLines="50" w:after="180"/>
        <w:ind w:leftChars="0" w:left="360"/>
        <w:jc w:val="center"/>
        <w:rPr>
          <w:b/>
        </w:rPr>
      </w:pPr>
      <w:r w:rsidRPr="002A16BB">
        <w:rPr>
          <w:b/>
        </w:rPr>
        <w:t>2017.3.</w:t>
      </w:r>
    </w:p>
    <w:p w:rsidR="002B17A7" w:rsidRDefault="002B17A7" w:rsidP="002B17A7">
      <w:pPr>
        <w:spacing w:beforeLines="50" w:before="180" w:afterLines="50" w:after="180"/>
        <w:jc w:val="center"/>
      </w:pPr>
      <w:r>
        <w:rPr>
          <w:rFonts w:hint="eastAsia"/>
        </w:rPr>
        <w:t>【說明】</w:t>
      </w:r>
    </w:p>
    <w:p w:rsidR="002B17A7" w:rsidRDefault="002B17A7" w:rsidP="002B17A7">
      <w:pPr>
        <w:spacing w:beforeLines="50" w:before="180" w:afterLines="50" w:after="180"/>
      </w:pPr>
      <w:r>
        <w:rPr>
          <w:rFonts w:hint="eastAsia"/>
        </w:rPr>
        <w:t>依據國家年金改革委員會公佈之數據，現行台灣私立大專院校教師退休年金月退部分，與公校教師之落差極大，在未包括公教人員保險養老給付情況下，單單是軍公教人員退休撫</w:t>
      </w:r>
      <w:proofErr w:type="gramStart"/>
      <w:r>
        <w:rPr>
          <w:rFonts w:hint="eastAsia"/>
        </w:rPr>
        <w:t>卹</w:t>
      </w:r>
      <w:proofErr w:type="gramEnd"/>
      <w:r>
        <w:rPr>
          <w:rFonts w:hint="eastAsia"/>
        </w:rPr>
        <w:t>制度的保障，</w:t>
      </w:r>
      <w:r>
        <w:t>2016</w:t>
      </w:r>
      <w:r>
        <w:rPr>
          <w:rFonts w:hint="eastAsia"/>
        </w:rPr>
        <w:t>年公立大專院校退休教師平均月退休所得</w:t>
      </w:r>
      <w:r>
        <w:t>76,045</w:t>
      </w:r>
      <w:r>
        <w:rPr>
          <w:rFonts w:hint="eastAsia"/>
        </w:rPr>
        <w:t>元，而私校教師則僅為一次性給付</w:t>
      </w:r>
      <w:r>
        <w:t>223</w:t>
      </w:r>
      <w:r>
        <w:rPr>
          <w:rFonts w:hint="eastAsia"/>
        </w:rPr>
        <w:t>萬（換算成月領則為</w:t>
      </w:r>
      <w:r>
        <w:t>9,291</w:t>
      </w:r>
      <w:r>
        <w:rPr>
          <w:rFonts w:hint="eastAsia"/>
        </w:rPr>
        <w:t>元），私校教師即便再加上公保養老給付每月平均</w:t>
      </w:r>
      <w:r>
        <w:t>15,682</w:t>
      </w:r>
      <w:r>
        <w:rPr>
          <w:rFonts w:hint="eastAsia"/>
        </w:rPr>
        <w:t>元，也僅有兩萬多元。</w:t>
      </w:r>
    </w:p>
    <w:p w:rsidR="002B17A7" w:rsidRDefault="002B17A7" w:rsidP="002B17A7">
      <w:pPr>
        <w:spacing w:beforeLines="50" w:before="180" w:afterLines="50" w:after="180"/>
      </w:pPr>
      <w:r>
        <w:rPr>
          <w:rFonts w:hint="eastAsia"/>
        </w:rPr>
        <w:t>若以</w:t>
      </w:r>
      <w:r>
        <w:t>2010</w:t>
      </w:r>
      <w:r>
        <w:rPr>
          <w:rFonts w:hint="eastAsia"/>
        </w:rPr>
        <w:t>年後開始任職，「純新制」的大專教師推算，若工作</w:t>
      </w:r>
      <w:r>
        <w:t>25</w:t>
      </w:r>
      <w:r>
        <w:rPr>
          <w:rFonts w:hint="eastAsia"/>
        </w:rPr>
        <w:t>年，以正教授最高級薪俸退休，其若皆任職於公立大專，約可領取每月</w:t>
      </w:r>
      <w:r>
        <w:t>59709</w:t>
      </w:r>
      <w:r>
        <w:rPr>
          <w:rFonts w:hint="eastAsia"/>
        </w:rPr>
        <w:t>元之月退（公保＋退撫），但若任職私立大專退休，則僅有</w:t>
      </w:r>
      <w:r>
        <w:t>29760</w:t>
      </w:r>
      <w:r>
        <w:rPr>
          <w:rFonts w:hint="eastAsia"/>
        </w:rPr>
        <w:t>元。兩者相較落差仍達</w:t>
      </w:r>
      <w:r>
        <w:t>2</w:t>
      </w:r>
      <w:r>
        <w:rPr>
          <w:rFonts w:hint="eastAsia"/>
        </w:rPr>
        <w:t>倍。</w:t>
      </w:r>
    </w:p>
    <w:p w:rsidR="002B17A7" w:rsidRDefault="002B17A7" w:rsidP="002B17A7">
      <w:pPr>
        <w:spacing w:beforeLines="50" w:before="180" w:afterLines="50" w:after="180"/>
      </w:pPr>
      <w:r>
        <w:rPr>
          <w:rFonts w:hint="eastAsia"/>
        </w:rPr>
        <w:t>然而，現行私立大專教師的本</w:t>
      </w:r>
      <w:proofErr w:type="gramStart"/>
      <w:r>
        <w:rPr>
          <w:rFonts w:hint="eastAsia"/>
        </w:rPr>
        <w:t>俸</w:t>
      </w:r>
      <w:proofErr w:type="gramEnd"/>
      <w:r>
        <w:rPr>
          <w:rFonts w:hint="eastAsia"/>
        </w:rPr>
        <w:t>以及加給，依</w:t>
      </w:r>
      <w:r>
        <w:t>2016</w:t>
      </w:r>
      <w:r>
        <w:rPr>
          <w:rFonts w:hint="eastAsia"/>
        </w:rPr>
        <w:t>年正式上路的</w:t>
      </w:r>
      <w:r>
        <w:rPr>
          <w:rFonts w:hint="eastAsia"/>
          <w:b/>
        </w:rPr>
        <w:t>《教師待遇條例》</w:t>
      </w:r>
      <w:r>
        <w:rPr>
          <w:rFonts w:hint="eastAsia"/>
        </w:rPr>
        <w:t>，皆已明文「</w:t>
      </w:r>
      <w:proofErr w:type="gramStart"/>
      <w:r>
        <w:rPr>
          <w:rFonts w:hint="eastAsia"/>
        </w:rPr>
        <w:t>準</w:t>
      </w:r>
      <w:proofErr w:type="gramEnd"/>
      <w:r>
        <w:rPr>
          <w:rFonts w:hint="eastAsia"/>
        </w:rPr>
        <w:t>用公校標準」，目的即在</w:t>
      </w:r>
      <w:proofErr w:type="gramStart"/>
      <w:r>
        <w:rPr>
          <w:rFonts w:hint="eastAsia"/>
        </w:rPr>
        <w:t>拉齊公校</w:t>
      </w:r>
      <w:proofErr w:type="gramEnd"/>
      <w:r>
        <w:rPr>
          <w:rFonts w:hint="eastAsia"/>
        </w:rPr>
        <w:t>、私校教師待遇。退休年金</w:t>
      </w:r>
      <w:proofErr w:type="gramStart"/>
      <w:r>
        <w:rPr>
          <w:rFonts w:hint="eastAsia"/>
        </w:rPr>
        <w:t>兩者間卻仍</w:t>
      </w:r>
      <w:proofErr w:type="gramEnd"/>
      <w:r>
        <w:rPr>
          <w:rFonts w:hint="eastAsia"/>
        </w:rPr>
        <w:t>存有如此巨大落差，早應有所改革。但面對私校教師退休年金所得替代率是所有職業類別中最低（僅約</w:t>
      </w:r>
      <w:r>
        <w:t>30%</w:t>
      </w:r>
      <w:r>
        <w:rPr>
          <w:rFonts w:hint="eastAsia"/>
        </w:rPr>
        <w:t>左右）的困境，至今卻完全未被排除在官方此次「年金改革」的方案中。</w:t>
      </w:r>
    </w:p>
    <w:p w:rsidR="002B17A7" w:rsidRDefault="002B17A7" w:rsidP="002B17A7">
      <w:pPr>
        <w:spacing w:beforeLines="50" w:before="180" w:afterLines="50" w:after="180"/>
      </w:pPr>
      <w:r>
        <w:rPr>
          <w:noProof/>
        </w:rPr>
        <w:drawing>
          <wp:inline distT="0" distB="0" distL="0" distR="0">
            <wp:extent cx="5265420" cy="29337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5420" cy="2933700"/>
                    </a:xfrm>
                    <a:prstGeom prst="rect">
                      <a:avLst/>
                    </a:prstGeom>
                    <a:noFill/>
                    <a:ln>
                      <a:noFill/>
                    </a:ln>
                  </pic:spPr>
                </pic:pic>
              </a:graphicData>
            </a:graphic>
          </wp:inline>
        </w:drawing>
      </w:r>
    </w:p>
    <w:p w:rsidR="002B17A7" w:rsidRDefault="002B17A7" w:rsidP="002B17A7">
      <w:pPr>
        <w:spacing w:beforeLines="50" w:before="180" w:afterLines="50" w:after="180"/>
      </w:pPr>
      <w:r>
        <w:rPr>
          <w:rFonts w:hint="eastAsia"/>
        </w:rPr>
        <w:t>高教工會在</w:t>
      </w:r>
      <w:r>
        <w:t>2016</w:t>
      </w:r>
      <w:r>
        <w:rPr>
          <w:rFonts w:hint="eastAsia"/>
        </w:rPr>
        <w:t>年</w:t>
      </w:r>
      <w:r>
        <w:t>11</w:t>
      </w:r>
      <w:r>
        <w:rPr>
          <w:rFonts w:hint="eastAsia"/>
        </w:rPr>
        <w:t>月</w:t>
      </w:r>
      <w:r>
        <w:t>8</w:t>
      </w:r>
      <w:r>
        <w:rPr>
          <w:rFonts w:hint="eastAsia"/>
        </w:rPr>
        <w:t>日，第</w:t>
      </w:r>
      <w:r>
        <w:t>20</w:t>
      </w:r>
      <w:r>
        <w:rPr>
          <w:rFonts w:hint="eastAsia"/>
        </w:rPr>
        <w:t>次年金改革委員會會議中，正式提案要求針對私立大專院校教職員之年金改革「</w:t>
      </w:r>
      <w:r>
        <w:rPr>
          <w:rFonts w:ascii="Times New Roman" w:eastAsia="標楷體" w:hAnsi="Times New Roman" w:hint="eastAsia"/>
        </w:rPr>
        <w:t>應當大幅改善，未來年金改革須朝向公、私一致的同工同酬之平等待遇原則</w:t>
      </w:r>
      <w:r>
        <w:rPr>
          <w:rFonts w:hint="eastAsia"/>
        </w:rPr>
        <w:t>」。</w:t>
      </w:r>
      <w:r>
        <w:t>12</w:t>
      </w:r>
      <w:r>
        <w:rPr>
          <w:rFonts w:hint="eastAsia"/>
        </w:rPr>
        <w:t>月</w:t>
      </w:r>
      <w:r>
        <w:t>28</w:t>
      </w:r>
      <w:r>
        <w:rPr>
          <w:rFonts w:hint="eastAsia"/>
        </w:rPr>
        <w:t>日推出私校教師退休</w:t>
      </w:r>
      <w:proofErr w:type="gramStart"/>
      <w:r>
        <w:rPr>
          <w:rFonts w:hint="eastAsia"/>
        </w:rPr>
        <w:t>年金線上試</w:t>
      </w:r>
      <w:proofErr w:type="gramEnd"/>
      <w:r>
        <w:rPr>
          <w:rFonts w:hint="eastAsia"/>
        </w:rPr>
        <w:lastRenderedPageBreak/>
        <w:t>算程式，同時發起「要求公私校年金平等待遇」全國連署，共有來自</w:t>
      </w:r>
      <w:r>
        <w:t>96</w:t>
      </w:r>
      <w:r>
        <w:rPr>
          <w:rFonts w:hint="eastAsia"/>
        </w:rPr>
        <w:t>所私立大專院上千名教師參與連署，訴求非常明確，即要求應該具體改善私校教師目前年金過低、與公校教師落差過大的問題。</w:t>
      </w:r>
    </w:p>
    <w:p w:rsidR="002B17A7" w:rsidRDefault="002B17A7" w:rsidP="002B17A7">
      <w:pPr>
        <w:spacing w:beforeLines="50" w:before="180" w:afterLines="50" w:after="180"/>
      </w:pPr>
      <w:r>
        <w:rPr>
          <w:rFonts w:hint="eastAsia"/>
        </w:rPr>
        <w:t>為了使我國年金改革具有促進公校、私校教職員平等待遇之效應，高教工會提出以下具體建議與主張：透過修改私立大專教師適用之《公教人員保險法》之養老年金給付之給付率，自現行之每年資給付</w:t>
      </w:r>
      <w:r>
        <w:t>1.3%</w:t>
      </w:r>
      <w:r>
        <w:rPr>
          <w:rFonts w:hint="eastAsia"/>
        </w:rPr>
        <w:t>，比照勞工保險給付率提升為每年資給付</w:t>
      </w:r>
      <w:r>
        <w:t>1.55%</w:t>
      </w:r>
      <w:r>
        <w:rPr>
          <w:rFonts w:hint="eastAsia"/>
        </w:rPr>
        <w:t>，以及修改《私校退撫條例》之退撫基金</w:t>
      </w:r>
      <w:proofErr w:type="gramStart"/>
      <w:r>
        <w:rPr>
          <w:rFonts w:hint="eastAsia"/>
        </w:rPr>
        <w:t>提撥</w:t>
      </w:r>
      <w:proofErr w:type="gramEnd"/>
      <w:r>
        <w:rPr>
          <w:rFonts w:hint="eastAsia"/>
        </w:rPr>
        <w:t>率自</w:t>
      </w:r>
      <w:r>
        <w:t>12%</w:t>
      </w:r>
      <w:r>
        <w:rPr>
          <w:rFonts w:hint="eastAsia"/>
        </w:rPr>
        <w:t>提高為</w:t>
      </w:r>
      <w:r>
        <w:t>18%</w:t>
      </w:r>
      <w:r>
        <w:rPr>
          <w:rFonts w:hint="eastAsia"/>
        </w:rPr>
        <w:t>，將可一定改善私校大專教職員之退休年金水準與所得替代率，拉近與公校大專教職員之差距，但又不須擔負過高之財政壓力。該改革方案</w:t>
      </w:r>
      <w:proofErr w:type="gramStart"/>
      <w:r>
        <w:rPr>
          <w:rFonts w:hint="eastAsia"/>
        </w:rPr>
        <w:t>對於六成</w:t>
      </w:r>
      <w:proofErr w:type="gramEnd"/>
      <w:r>
        <w:rPr>
          <w:rFonts w:hint="eastAsia"/>
        </w:rPr>
        <w:t>任職於私校之大專院校教職員有明顯的迫切性，應當為有關單位優先規劃考量之修法或政策提案。</w:t>
      </w:r>
    </w:p>
    <w:p w:rsidR="002B17A7" w:rsidRDefault="002B17A7" w:rsidP="002B17A7">
      <w:pPr>
        <w:widowControl/>
      </w:pPr>
      <w:r>
        <w:rPr>
          <w:kern w:val="0"/>
        </w:rPr>
        <w:br w:type="page"/>
      </w:r>
    </w:p>
    <w:p w:rsidR="002B17A7" w:rsidRDefault="002B17A7" w:rsidP="002B17A7">
      <w:pPr>
        <w:spacing w:beforeLines="50" w:before="180" w:afterLines="50" w:after="180"/>
        <w:jc w:val="center"/>
      </w:pPr>
      <w:r>
        <w:rPr>
          <w:rFonts w:hint="eastAsia"/>
        </w:rPr>
        <w:lastRenderedPageBreak/>
        <w:t>【具體修法方案】</w:t>
      </w:r>
    </w:p>
    <w:p w:rsidR="002B17A7" w:rsidRDefault="002B17A7" w:rsidP="002B17A7">
      <w:pPr>
        <w:pStyle w:val="a3"/>
        <w:numPr>
          <w:ilvl w:val="0"/>
          <w:numId w:val="1"/>
        </w:numPr>
        <w:ind w:leftChars="0"/>
      </w:pPr>
      <w:r>
        <w:rPr>
          <w:rFonts w:hint="eastAsia"/>
        </w:rPr>
        <w:t>修改公教人員保險法第十六條第一項第二款</w:t>
      </w:r>
    </w:p>
    <w:p w:rsidR="002B17A7" w:rsidRDefault="002B17A7" w:rsidP="002B17A7">
      <w:pPr>
        <w:pStyle w:val="a3"/>
        <w:numPr>
          <w:ilvl w:val="0"/>
          <w:numId w:val="1"/>
        </w:numPr>
        <w:ind w:leftChars="0"/>
      </w:pPr>
      <w:r>
        <w:rPr>
          <w:rFonts w:hint="eastAsia"/>
        </w:rPr>
        <w:t>修改學校法人及其所屬私立學校教職員退休撫</w:t>
      </w:r>
      <w:proofErr w:type="gramStart"/>
      <w:r>
        <w:rPr>
          <w:rFonts w:hint="eastAsia"/>
        </w:rPr>
        <w:t>卹</w:t>
      </w:r>
      <w:proofErr w:type="gramEnd"/>
      <w:r>
        <w:rPr>
          <w:rFonts w:hint="eastAsia"/>
        </w:rPr>
        <w:t>離職資遣條例第八條第四項</w:t>
      </w:r>
    </w:p>
    <w:p w:rsidR="002B17A7" w:rsidRDefault="002B17A7" w:rsidP="002B17A7"/>
    <w:p w:rsidR="002B17A7" w:rsidRDefault="002B17A7" w:rsidP="002B17A7">
      <w:pPr>
        <w:rPr>
          <w:b/>
          <w:sz w:val="28"/>
        </w:rPr>
      </w:pPr>
      <w:r>
        <w:rPr>
          <w:rFonts w:hint="eastAsia"/>
          <w:b/>
          <w:sz w:val="28"/>
        </w:rPr>
        <w:t>一、公教人員保險法修法建議：</w:t>
      </w:r>
    </w:p>
    <w:tbl>
      <w:tblPr>
        <w:tblStyle w:val="a4"/>
        <w:tblW w:w="0" w:type="auto"/>
        <w:tblLook w:val="04A0" w:firstRow="1" w:lastRow="0" w:firstColumn="1" w:lastColumn="0" w:noHBand="0" w:noVBand="1"/>
      </w:tblPr>
      <w:tblGrid>
        <w:gridCol w:w="783"/>
        <w:gridCol w:w="3869"/>
        <w:gridCol w:w="3870"/>
      </w:tblGrid>
      <w:tr w:rsidR="002B17A7" w:rsidTr="002B17A7">
        <w:tc>
          <w:tcPr>
            <w:tcW w:w="1101" w:type="dxa"/>
            <w:tcBorders>
              <w:top w:val="single" w:sz="4" w:space="0" w:color="auto"/>
              <w:left w:val="single" w:sz="4" w:space="0" w:color="auto"/>
              <w:bottom w:val="single" w:sz="4" w:space="0" w:color="auto"/>
              <w:right w:val="single" w:sz="4" w:space="0" w:color="auto"/>
            </w:tcBorders>
          </w:tcPr>
          <w:p w:rsidR="002B17A7" w:rsidRDefault="002B17A7">
            <w:pPr>
              <w:rPr>
                <w:rFonts w:eastAsiaTheme="minorEastAsia"/>
              </w:rPr>
            </w:pPr>
          </w:p>
        </w:tc>
        <w:tc>
          <w:tcPr>
            <w:tcW w:w="6520" w:type="dxa"/>
            <w:tcBorders>
              <w:top w:val="single" w:sz="4" w:space="0" w:color="auto"/>
              <w:left w:val="single" w:sz="4" w:space="0" w:color="auto"/>
              <w:bottom w:val="single" w:sz="4" w:space="0" w:color="auto"/>
              <w:right w:val="single" w:sz="4" w:space="0" w:color="auto"/>
            </w:tcBorders>
            <w:hideMark/>
          </w:tcPr>
          <w:p w:rsidR="002B17A7" w:rsidRDefault="002B17A7">
            <w:pPr>
              <w:rPr>
                <w:rFonts w:eastAsiaTheme="minorEastAsia"/>
              </w:rPr>
            </w:pPr>
            <w:r>
              <w:rPr>
                <w:rFonts w:ascii="新細明體" w:eastAsia="新細明體" w:hAnsi="新細明體" w:cs="新細明體" w:hint="eastAsia"/>
              </w:rPr>
              <w:t>現行法</w:t>
            </w:r>
            <w:r>
              <w:rPr>
                <w:rFonts w:ascii="細明體" w:eastAsia="細明體" w:hAnsi="細明體" w:cs="細明體" w:hint="eastAsia"/>
              </w:rPr>
              <w:t>條</w:t>
            </w:r>
          </w:p>
        </w:tc>
        <w:tc>
          <w:tcPr>
            <w:tcW w:w="6521" w:type="dxa"/>
            <w:tcBorders>
              <w:top w:val="single" w:sz="4" w:space="0" w:color="auto"/>
              <w:left w:val="single" w:sz="4" w:space="0" w:color="auto"/>
              <w:bottom w:val="single" w:sz="4" w:space="0" w:color="auto"/>
              <w:right w:val="single" w:sz="4" w:space="0" w:color="auto"/>
            </w:tcBorders>
            <w:hideMark/>
          </w:tcPr>
          <w:p w:rsidR="002B17A7" w:rsidRDefault="002B17A7">
            <w:pPr>
              <w:rPr>
                <w:rFonts w:eastAsiaTheme="minorEastAsia"/>
              </w:rPr>
            </w:pPr>
            <w:r>
              <w:rPr>
                <w:rFonts w:ascii="新細明體" w:eastAsia="新細明體" w:hAnsi="新細明體" w:cs="新細明體" w:hint="eastAsia"/>
              </w:rPr>
              <w:t>修正版本條</w:t>
            </w:r>
            <w:r>
              <w:rPr>
                <w:rFonts w:ascii="細明體" w:eastAsia="細明體" w:hAnsi="細明體" w:cs="細明體" w:hint="eastAsia"/>
              </w:rPr>
              <w:t>文</w:t>
            </w:r>
          </w:p>
        </w:tc>
      </w:tr>
      <w:tr w:rsidR="002B17A7" w:rsidTr="002B17A7">
        <w:tc>
          <w:tcPr>
            <w:tcW w:w="1101" w:type="dxa"/>
            <w:tcBorders>
              <w:top w:val="single" w:sz="4" w:space="0" w:color="auto"/>
              <w:left w:val="single" w:sz="4" w:space="0" w:color="auto"/>
              <w:bottom w:val="single" w:sz="4" w:space="0" w:color="auto"/>
              <w:right w:val="single" w:sz="4" w:space="0" w:color="auto"/>
            </w:tcBorders>
            <w:hideMark/>
          </w:tcPr>
          <w:p w:rsidR="002B17A7" w:rsidRDefault="002B17A7">
            <w:pPr>
              <w:rPr>
                <w:rFonts w:eastAsiaTheme="minorEastAsia"/>
              </w:rPr>
            </w:pPr>
            <w:r>
              <w:rPr>
                <w:rFonts w:ascii="新細明體" w:eastAsia="新細明體" w:hAnsi="新細明體" w:cs="新細明體" w:hint="eastAsia"/>
              </w:rPr>
              <w:t>第十六條第一</w:t>
            </w:r>
            <w:r>
              <w:rPr>
                <w:rFonts w:ascii="細明體" w:eastAsia="細明體" w:hAnsi="細明體" w:cs="細明體" w:hint="eastAsia"/>
              </w:rPr>
              <w:t>項</w:t>
            </w:r>
          </w:p>
        </w:tc>
        <w:tc>
          <w:tcPr>
            <w:tcW w:w="6520" w:type="dxa"/>
            <w:tcBorders>
              <w:top w:val="single" w:sz="4" w:space="0" w:color="auto"/>
              <w:left w:val="single" w:sz="4" w:space="0" w:color="auto"/>
              <w:bottom w:val="single" w:sz="4" w:space="0" w:color="auto"/>
              <w:right w:val="single" w:sz="4" w:space="0" w:color="auto"/>
            </w:tcBorders>
          </w:tcPr>
          <w:p w:rsidR="002B17A7" w:rsidRDefault="002B17A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Courier"/>
                <w:color w:val="000000"/>
                <w:kern w:val="0"/>
                <w:sz w:val="23"/>
                <w:szCs w:val="23"/>
              </w:rPr>
            </w:pPr>
            <w:r>
              <w:rPr>
                <w:rFonts w:ascii="細明體" w:eastAsia="細明體" w:hAnsi="細明體" w:cs="Courier" w:hint="eastAsia"/>
                <w:color w:val="000000"/>
                <w:kern w:val="0"/>
                <w:sz w:val="23"/>
                <w:szCs w:val="23"/>
              </w:rPr>
              <w:t>被保險人依法退休（職）、資遣，或繳付本保險保險費滿十五年且年滿五 十五歲以上而離職退保時，給與養老給付。 養老給付之請領方式及給與標準如下：</w:t>
            </w:r>
          </w:p>
          <w:p w:rsidR="002B17A7" w:rsidRDefault="002B17A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Courier"/>
                <w:color w:val="000000"/>
                <w:kern w:val="0"/>
                <w:sz w:val="23"/>
                <w:szCs w:val="23"/>
              </w:rPr>
            </w:pPr>
            <w:r>
              <w:rPr>
                <w:rFonts w:ascii="細明體" w:eastAsia="細明體" w:hAnsi="細明體" w:cs="Courier" w:hint="eastAsia"/>
                <w:color w:val="000000"/>
                <w:kern w:val="0"/>
                <w:sz w:val="23"/>
                <w:szCs w:val="23"/>
              </w:rPr>
              <w:t>一、一次養老給付：保險年資每滿一年，給付一點二</w:t>
            </w:r>
            <w:proofErr w:type="gramStart"/>
            <w:r>
              <w:rPr>
                <w:rFonts w:ascii="細明體" w:eastAsia="細明體" w:hAnsi="細明體" w:cs="Courier" w:hint="eastAsia"/>
                <w:color w:val="000000"/>
                <w:kern w:val="0"/>
                <w:sz w:val="23"/>
                <w:szCs w:val="23"/>
              </w:rPr>
              <w:t>個</w:t>
            </w:r>
            <w:proofErr w:type="gramEnd"/>
            <w:r>
              <w:rPr>
                <w:rFonts w:ascii="細明體" w:eastAsia="細明體" w:hAnsi="細明體" w:cs="Courier" w:hint="eastAsia"/>
                <w:color w:val="000000"/>
                <w:kern w:val="0"/>
                <w:sz w:val="23"/>
                <w:szCs w:val="23"/>
              </w:rPr>
              <w:t>月；最高以給付四十二</w:t>
            </w:r>
            <w:proofErr w:type="gramStart"/>
            <w:r>
              <w:rPr>
                <w:rFonts w:ascii="細明體" w:eastAsia="細明體" w:hAnsi="細明體" w:cs="Courier" w:hint="eastAsia"/>
                <w:color w:val="000000"/>
                <w:kern w:val="0"/>
                <w:sz w:val="23"/>
                <w:szCs w:val="23"/>
              </w:rPr>
              <w:t>個</w:t>
            </w:r>
            <w:proofErr w:type="gramEnd"/>
            <w:r>
              <w:rPr>
                <w:rFonts w:ascii="細明體" w:eastAsia="細明體" w:hAnsi="細明體" w:cs="Courier" w:hint="eastAsia"/>
                <w:color w:val="000000"/>
                <w:kern w:val="0"/>
                <w:sz w:val="23"/>
                <w:szCs w:val="23"/>
              </w:rPr>
              <w:t>月為限。但辦理優惠存款者，最高以三十六</w:t>
            </w:r>
            <w:proofErr w:type="gramStart"/>
            <w:r>
              <w:rPr>
                <w:rFonts w:ascii="細明體" w:eastAsia="細明體" w:hAnsi="細明體" w:cs="Courier" w:hint="eastAsia"/>
                <w:color w:val="000000"/>
                <w:kern w:val="0"/>
                <w:sz w:val="23"/>
                <w:szCs w:val="23"/>
              </w:rPr>
              <w:t>個</w:t>
            </w:r>
            <w:proofErr w:type="gramEnd"/>
            <w:r>
              <w:rPr>
                <w:rFonts w:ascii="細明體" w:eastAsia="細明體" w:hAnsi="細明體" w:cs="Courier" w:hint="eastAsia"/>
                <w:color w:val="000000"/>
                <w:kern w:val="0"/>
                <w:sz w:val="23"/>
                <w:szCs w:val="23"/>
              </w:rPr>
              <w:t xml:space="preserve">月為限。 </w:t>
            </w:r>
          </w:p>
          <w:p w:rsidR="002B17A7" w:rsidRDefault="002B17A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Courier"/>
                <w:color w:val="000000"/>
                <w:kern w:val="0"/>
                <w:sz w:val="23"/>
                <w:szCs w:val="23"/>
              </w:rPr>
            </w:pPr>
          </w:p>
          <w:p w:rsidR="002B17A7" w:rsidRDefault="002B17A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Courier"/>
                <w:color w:val="000000"/>
                <w:kern w:val="0"/>
                <w:sz w:val="23"/>
                <w:szCs w:val="23"/>
              </w:rPr>
            </w:pPr>
            <w:r>
              <w:rPr>
                <w:rFonts w:ascii="細明體" w:eastAsia="細明體" w:hAnsi="細明體" w:cs="Courier" w:hint="eastAsia"/>
                <w:color w:val="000000"/>
                <w:kern w:val="0"/>
                <w:sz w:val="23"/>
                <w:szCs w:val="23"/>
              </w:rPr>
              <w:t>二、養老年金給付：保險年資每滿一年，在給付率百分之零點七五（以下簡稱基本年金率）至百分之一點三（以下簡稱上限年金率）</w:t>
            </w:r>
            <w:proofErr w:type="gramStart"/>
            <w:r>
              <w:rPr>
                <w:rFonts w:ascii="細明體" w:eastAsia="細明體" w:hAnsi="細明體" w:cs="Courier" w:hint="eastAsia"/>
                <w:color w:val="000000"/>
                <w:kern w:val="0"/>
                <w:sz w:val="23"/>
                <w:szCs w:val="23"/>
              </w:rPr>
              <w:t>之間核</w:t>
            </w:r>
            <w:proofErr w:type="gramEnd"/>
            <w:r>
              <w:rPr>
                <w:rFonts w:ascii="細明體" w:eastAsia="細明體" w:hAnsi="細明體" w:cs="Courier" w:hint="eastAsia"/>
                <w:color w:val="000000"/>
                <w:kern w:val="0"/>
                <w:sz w:val="23"/>
                <w:szCs w:val="23"/>
              </w:rPr>
              <w:t>給養老年金給付，最高</w:t>
            </w:r>
            <w:proofErr w:type="gramStart"/>
            <w:r>
              <w:rPr>
                <w:rFonts w:ascii="細明體" w:eastAsia="細明體" w:hAnsi="細明體" w:cs="Courier" w:hint="eastAsia"/>
                <w:color w:val="000000"/>
                <w:kern w:val="0"/>
                <w:sz w:val="23"/>
                <w:szCs w:val="23"/>
              </w:rPr>
              <w:t>採</w:t>
            </w:r>
            <w:proofErr w:type="gramEnd"/>
            <w:r>
              <w:rPr>
                <w:rFonts w:ascii="細明體" w:eastAsia="細明體" w:hAnsi="細明體" w:cs="Courier" w:hint="eastAsia"/>
                <w:color w:val="000000"/>
                <w:kern w:val="0"/>
                <w:sz w:val="23"/>
                <w:szCs w:val="23"/>
              </w:rPr>
              <w:t>計三十五年；其總給付率最高為百分之四十五點五。</w:t>
            </w:r>
          </w:p>
          <w:p w:rsidR="002B17A7" w:rsidRDefault="002B17A7">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rFonts w:ascii="細明體" w:eastAsia="細明體" w:hAnsi="細明體" w:cs="Courier"/>
                <w:color w:val="000000"/>
                <w:kern w:val="0"/>
                <w:sz w:val="23"/>
                <w:szCs w:val="23"/>
              </w:rPr>
            </w:pPr>
            <w:r>
              <w:rPr>
                <w:rFonts w:ascii="細明體" w:eastAsia="細明體" w:hAnsi="細明體" w:cs="Courier" w:hint="eastAsia"/>
                <w:color w:val="000000"/>
                <w:kern w:val="0"/>
                <w:sz w:val="23"/>
                <w:szCs w:val="23"/>
              </w:rPr>
              <w:t xml:space="preserve"> </w:t>
            </w:r>
          </w:p>
          <w:p w:rsidR="002B17A7" w:rsidRDefault="002B17A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Courier"/>
                <w:color w:val="000000"/>
                <w:kern w:val="0"/>
                <w:sz w:val="23"/>
                <w:szCs w:val="23"/>
              </w:rPr>
            </w:pPr>
          </w:p>
        </w:tc>
        <w:tc>
          <w:tcPr>
            <w:tcW w:w="6521" w:type="dxa"/>
            <w:tcBorders>
              <w:top w:val="single" w:sz="4" w:space="0" w:color="auto"/>
              <w:left w:val="single" w:sz="4" w:space="0" w:color="auto"/>
              <w:bottom w:val="single" w:sz="4" w:space="0" w:color="auto"/>
              <w:right w:val="single" w:sz="4" w:space="0" w:color="auto"/>
            </w:tcBorders>
          </w:tcPr>
          <w:p w:rsidR="002B17A7" w:rsidRDefault="002B17A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Courier"/>
                <w:color w:val="000000"/>
                <w:kern w:val="0"/>
                <w:sz w:val="23"/>
                <w:szCs w:val="23"/>
              </w:rPr>
            </w:pPr>
            <w:r>
              <w:rPr>
                <w:rFonts w:ascii="細明體" w:eastAsia="細明體" w:hAnsi="細明體" w:cs="Courier" w:hint="eastAsia"/>
                <w:color w:val="000000"/>
                <w:kern w:val="0"/>
                <w:sz w:val="23"/>
                <w:szCs w:val="23"/>
              </w:rPr>
              <w:t>被保險人依法退休（職）、資遣，或繳付本保險保險費滿十五年且年滿五 十五歲以上而離職退保時，給與養老給付。 養老給付之請領方式及給與標準如下：</w:t>
            </w:r>
          </w:p>
          <w:p w:rsidR="002B17A7" w:rsidRDefault="002B17A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Courier"/>
                <w:color w:val="000000"/>
                <w:kern w:val="0"/>
                <w:sz w:val="23"/>
                <w:szCs w:val="23"/>
              </w:rPr>
            </w:pPr>
            <w:r>
              <w:rPr>
                <w:rFonts w:ascii="細明體" w:eastAsia="細明體" w:hAnsi="細明體" w:cs="Courier" w:hint="eastAsia"/>
                <w:color w:val="000000"/>
                <w:kern w:val="0"/>
                <w:sz w:val="23"/>
                <w:szCs w:val="23"/>
              </w:rPr>
              <w:t>一、一次養老給付：保險年資每滿一年，給付一點二</w:t>
            </w:r>
            <w:proofErr w:type="gramStart"/>
            <w:r>
              <w:rPr>
                <w:rFonts w:ascii="細明體" w:eastAsia="細明體" w:hAnsi="細明體" w:cs="Courier" w:hint="eastAsia"/>
                <w:color w:val="000000"/>
                <w:kern w:val="0"/>
                <w:sz w:val="23"/>
                <w:szCs w:val="23"/>
              </w:rPr>
              <w:t>個</w:t>
            </w:r>
            <w:proofErr w:type="gramEnd"/>
            <w:r>
              <w:rPr>
                <w:rFonts w:ascii="細明體" w:eastAsia="細明體" w:hAnsi="細明體" w:cs="Courier" w:hint="eastAsia"/>
                <w:color w:val="000000"/>
                <w:kern w:val="0"/>
                <w:sz w:val="23"/>
                <w:szCs w:val="23"/>
              </w:rPr>
              <w:t>月；最高以給付四十二</w:t>
            </w:r>
            <w:proofErr w:type="gramStart"/>
            <w:r>
              <w:rPr>
                <w:rFonts w:ascii="細明體" w:eastAsia="細明體" w:hAnsi="細明體" w:cs="Courier" w:hint="eastAsia"/>
                <w:color w:val="000000"/>
                <w:kern w:val="0"/>
                <w:sz w:val="23"/>
                <w:szCs w:val="23"/>
              </w:rPr>
              <w:t>個</w:t>
            </w:r>
            <w:proofErr w:type="gramEnd"/>
            <w:r>
              <w:rPr>
                <w:rFonts w:ascii="細明體" w:eastAsia="細明體" w:hAnsi="細明體" w:cs="Courier" w:hint="eastAsia"/>
                <w:color w:val="000000"/>
                <w:kern w:val="0"/>
                <w:sz w:val="23"/>
                <w:szCs w:val="23"/>
              </w:rPr>
              <w:t>月為限。但辦理優惠存款者，最高以三十六</w:t>
            </w:r>
            <w:proofErr w:type="gramStart"/>
            <w:r>
              <w:rPr>
                <w:rFonts w:ascii="細明體" w:eastAsia="細明體" w:hAnsi="細明體" w:cs="Courier" w:hint="eastAsia"/>
                <w:color w:val="000000"/>
                <w:kern w:val="0"/>
                <w:sz w:val="23"/>
                <w:szCs w:val="23"/>
              </w:rPr>
              <w:t>個</w:t>
            </w:r>
            <w:proofErr w:type="gramEnd"/>
            <w:r>
              <w:rPr>
                <w:rFonts w:ascii="細明體" w:eastAsia="細明體" w:hAnsi="細明體" w:cs="Courier" w:hint="eastAsia"/>
                <w:color w:val="000000"/>
                <w:kern w:val="0"/>
                <w:sz w:val="23"/>
                <w:szCs w:val="23"/>
              </w:rPr>
              <w:t>月為限。</w:t>
            </w:r>
          </w:p>
          <w:p w:rsidR="002B17A7" w:rsidRDefault="002B17A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Courier"/>
                <w:color w:val="000000"/>
                <w:kern w:val="0"/>
                <w:sz w:val="23"/>
                <w:szCs w:val="23"/>
              </w:rPr>
            </w:pPr>
          </w:p>
          <w:p w:rsidR="002B17A7" w:rsidRDefault="002B17A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Courier"/>
                <w:color w:val="000000"/>
                <w:kern w:val="0"/>
                <w:sz w:val="23"/>
                <w:szCs w:val="23"/>
              </w:rPr>
            </w:pPr>
            <w:r>
              <w:rPr>
                <w:rFonts w:ascii="細明體" w:eastAsia="細明體" w:hAnsi="細明體" w:cs="Courier" w:hint="eastAsia"/>
                <w:color w:val="000000"/>
                <w:kern w:val="0"/>
                <w:sz w:val="23"/>
                <w:szCs w:val="23"/>
              </w:rPr>
              <w:t>二、養老年金給付：保險年資每滿一年，在給付率百分之零點七五（以下簡稱基本年金率）至</w:t>
            </w:r>
            <w:r>
              <w:rPr>
                <w:rFonts w:ascii="細明體" w:eastAsia="細明體" w:hAnsi="細明體" w:cs="Courier" w:hint="eastAsia"/>
                <w:b/>
                <w:color w:val="FF0000"/>
                <w:kern w:val="0"/>
                <w:sz w:val="23"/>
                <w:szCs w:val="23"/>
                <w:u w:val="single"/>
              </w:rPr>
              <w:t>百分之一點五五</w:t>
            </w:r>
            <w:r>
              <w:rPr>
                <w:rFonts w:ascii="細明體" w:eastAsia="細明體" w:hAnsi="細明體" w:cs="Courier" w:hint="eastAsia"/>
                <w:color w:val="000000"/>
                <w:kern w:val="0"/>
                <w:sz w:val="23"/>
                <w:szCs w:val="23"/>
              </w:rPr>
              <w:t>（以下簡稱上限年金率）</w:t>
            </w:r>
            <w:proofErr w:type="gramStart"/>
            <w:r>
              <w:rPr>
                <w:rFonts w:ascii="細明體" w:eastAsia="細明體" w:hAnsi="細明體" w:cs="Courier" w:hint="eastAsia"/>
                <w:color w:val="000000"/>
                <w:kern w:val="0"/>
                <w:sz w:val="23"/>
                <w:szCs w:val="23"/>
              </w:rPr>
              <w:t>之間核</w:t>
            </w:r>
            <w:proofErr w:type="gramEnd"/>
            <w:r>
              <w:rPr>
                <w:rFonts w:ascii="細明體" w:eastAsia="細明體" w:hAnsi="細明體" w:cs="Courier" w:hint="eastAsia"/>
                <w:color w:val="000000"/>
                <w:kern w:val="0"/>
                <w:sz w:val="23"/>
                <w:szCs w:val="23"/>
              </w:rPr>
              <w:t>給養老年金給付，最高</w:t>
            </w:r>
            <w:proofErr w:type="gramStart"/>
            <w:r>
              <w:rPr>
                <w:rFonts w:ascii="細明體" w:eastAsia="細明體" w:hAnsi="細明體" w:cs="Courier" w:hint="eastAsia"/>
                <w:color w:val="000000"/>
                <w:kern w:val="0"/>
                <w:sz w:val="23"/>
                <w:szCs w:val="23"/>
              </w:rPr>
              <w:t>採</w:t>
            </w:r>
            <w:proofErr w:type="gramEnd"/>
            <w:r>
              <w:rPr>
                <w:rFonts w:ascii="細明體" w:eastAsia="細明體" w:hAnsi="細明體" w:cs="Courier" w:hint="eastAsia"/>
                <w:color w:val="000000"/>
                <w:kern w:val="0"/>
                <w:sz w:val="23"/>
                <w:szCs w:val="23"/>
              </w:rPr>
              <w:t>計三十五年；其總給付率最高為百分之</w:t>
            </w:r>
            <w:r>
              <w:rPr>
                <w:rFonts w:ascii="細明體" w:eastAsia="細明體" w:hAnsi="細明體" w:cs="Courier" w:hint="eastAsia"/>
                <w:b/>
                <w:color w:val="FF0000"/>
                <w:kern w:val="0"/>
                <w:sz w:val="23"/>
                <w:szCs w:val="23"/>
                <w:u w:val="single"/>
              </w:rPr>
              <w:t>五十四點二五</w:t>
            </w:r>
            <w:r>
              <w:rPr>
                <w:rFonts w:ascii="細明體" w:eastAsia="細明體" w:hAnsi="細明體" w:cs="Courier" w:hint="eastAsia"/>
                <w:color w:val="000000"/>
                <w:kern w:val="0"/>
                <w:sz w:val="23"/>
                <w:szCs w:val="23"/>
              </w:rPr>
              <w:t xml:space="preserve">。 </w:t>
            </w:r>
          </w:p>
          <w:p w:rsidR="002B17A7" w:rsidRDefault="002B17A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Courier"/>
                <w:color w:val="000000"/>
                <w:kern w:val="0"/>
                <w:sz w:val="23"/>
                <w:szCs w:val="23"/>
              </w:rPr>
            </w:pPr>
          </w:p>
          <w:p w:rsidR="002B17A7" w:rsidRDefault="002B17A7">
            <w:pPr>
              <w:rPr>
                <w:rFonts w:eastAsiaTheme="minorEastAsia"/>
              </w:rPr>
            </w:pPr>
          </w:p>
        </w:tc>
      </w:tr>
    </w:tbl>
    <w:p w:rsidR="002B17A7" w:rsidRDefault="002B17A7" w:rsidP="002B17A7"/>
    <w:p w:rsidR="002B17A7" w:rsidRDefault="002B17A7" w:rsidP="002B17A7">
      <w:pPr>
        <w:rPr>
          <w:b/>
          <w:sz w:val="28"/>
        </w:rPr>
      </w:pPr>
      <w:r>
        <w:rPr>
          <w:rFonts w:hint="eastAsia"/>
          <w:b/>
          <w:sz w:val="28"/>
        </w:rPr>
        <w:t>二、學校法人及其所屬私立學校教職員退休撫</w:t>
      </w:r>
      <w:proofErr w:type="gramStart"/>
      <w:r>
        <w:rPr>
          <w:rFonts w:hint="eastAsia"/>
          <w:b/>
          <w:sz w:val="28"/>
        </w:rPr>
        <w:t>卹</w:t>
      </w:r>
      <w:proofErr w:type="gramEnd"/>
      <w:r>
        <w:rPr>
          <w:rFonts w:hint="eastAsia"/>
          <w:b/>
          <w:sz w:val="28"/>
        </w:rPr>
        <w:t>離職資遣條例修法建議：</w:t>
      </w:r>
    </w:p>
    <w:tbl>
      <w:tblPr>
        <w:tblStyle w:val="a4"/>
        <w:tblW w:w="0" w:type="auto"/>
        <w:tblLook w:val="04A0" w:firstRow="1" w:lastRow="0" w:firstColumn="1" w:lastColumn="0" w:noHBand="0" w:noVBand="1"/>
      </w:tblPr>
      <w:tblGrid>
        <w:gridCol w:w="805"/>
        <w:gridCol w:w="3858"/>
        <w:gridCol w:w="3859"/>
      </w:tblGrid>
      <w:tr w:rsidR="002B17A7" w:rsidTr="002B17A7">
        <w:tc>
          <w:tcPr>
            <w:tcW w:w="1101" w:type="dxa"/>
            <w:tcBorders>
              <w:top w:val="single" w:sz="4" w:space="0" w:color="auto"/>
              <w:left w:val="single" w:sz="4" w:space="0" w:color="auto"/>
              <w:bottom w:val="single" w:sz="4" w:space="0" w:color="auto"/>
              <w:right w:val="single" w:sz="4" w:space="0" w:color="auto"/>
            </w:tcBorders>
          </w:tcPr>
          <w:p w:rsidR="002B17A7" w:rsidRDefault="002B17A7">
            <w:pPr>
              <w:rPr>
                <w:rFonts w:eastAsiaTheme="minorEastAsia"/>
              </w:rPr>
            </w:pPr>
          </w:p>
        </w:tc>
        <w:tc>
          <w:tcPr>
            <w:tcW w:w="6457" w:type="dxa"/>
            <w:tcBorders>
              <w:top w:val="single" w:sz="4" w:space="0" w:color="auto"/>
              <w:left w:val="single" w:sz="4" w:space="0" w:color="auto"/>
              <w:bottom w:val="single" w:sz="4" w:space="0" w:color="auto"/>
              <w:right w:val="single" w:sz="4" w:space="0" w:color="auto"/>
            </w:tcBorders>
            <w:hideMark/>
          </w:tcPr>
          <w:p w:rsidR="002B17A7" w:rsidRDefault="002B17A7">
            <w:pPr>
              <w:rPr>
                <w:rFonts w:eastAsiaTheme="minorEastAsia"/>
              </w:rPr>
            </w:pPr>
            <w:r>
              <w:rPr>
                <w:rFonts w:ascii="新細明體" w:eastAsia="新細明體" w:hAnsi="新細明體" w:cs="新細明體" w:hint="eastAsia"/>
              </w:rPr>
              <w:t>現行條</w:t>
            </w:r>
            <w:r>
              <w:rPr>
                <w:rFonts w:ascii="細明體" w:eastAsia="細明體" w:hAnsi="細明體" w:cs="細明體" w:hint="eastAsia"/>
              </w:rPr>
              <w:t>文</w:t>
            </w:r>
          </w:p>
        </w:tc>
        <w:tc>
          <w:tcPr>
            <w:tcW w:w="6458" w:type="dxa"/>
            <w:tcBorders>
              <w:top w:val="single" w:sz="4" w:space="0" w:color="auto"/>
              <w:left w:val="single" w:sz="4" w:space="0" w:color="auto"/>
              <w:bottom w:val="single" w:sz="4" w:space="0" w:color="auto"/>
              <w:right w:val="single" w:sz="4" w:space="0" w:color="auto"/>
            </w:tcBorders>
            <w:hideMark/>
          </w:tcPr>
          <w:p w:rsidR="002B17A7" w:rsidRDefault="002B17A7">
            <w:pPr>
              <w:rPr>
                <w:rFonts w:eastAsiaTheme="minorEastAsia"/>
              </w:rPr>
            </w:pPr>
            <w:r>
              <w:rPr>
                <w:rFonts w:ascii="新細明體" w:eastAsia="新細明體" w:hAnsi="新細明體" w:cs="新細明體" w:hint="eastAsia"/>
              </w:rPr>
              <w:t>修正版本條</w:t>
            </w:r>
            <w:r>
              <w:rPr>
                <w:rFonts w:ascii="細明體" w:eastAsia="細明體" w:hAnsi="細明體" w:cs="細明體" w:hint="eastAsia"/>
              </w:rPr>
              <w:t>文</w:t>
            </w:r>
          </w:p>
        </w:tc>
      </w:tr>
      <w:tr w:rsidR="002B17A7" w:rsidTr="002B17A7">
        <w:tc>
          <w:tcPr>
            <w:tcW w:w="1101" w:type="dxa"/>
            <w:tcBorders>
              <w:top w:val="single" w:sz="4" w:space="0" w:color="auto"/>
              <w:left w:val="single" w:sz="4" w:space="0" w:color="auto"/>
              <w:bottom w:val="single" w:sz="4" w:space="0" w:color="auto"/>
              <w:right w:val="single" w:sz="4" w:space="0" w:color="auto"/>
            </w:tcBorders>
            <w:hideMark/>
          </w:tcPr>
          <w:p w:rsidR="002B17A7" w:rsidRDefault="002B17A7">
            <w:pPr>
              <w:rPr>
                <w:rFonts w:eastAsiaTheme="minorEastAsia"/>
              </w:rPr>
            </w:pPr>
            <w:r>
              <w:rPr>
                <w:rFonts w:ascii="新細明體" w:eastAsia="新細明體" w:hAnsi="新細明體" w:cs="新細明體" w:hint="eastAsia"/>
              </w:rPr>
              <w:t>第八</w:t>
            </w:r>
            <w:r>
              <w:rPr>
                <w:rFonts w:ascii="細明體" w:eastAsia="細明體" w:hAnsi="細明體" w:cs="細明體" w:hint="eastAsia"/>
              </w:rPr>
              <w:t>條</w:t>
            </w:r>
          </w:p>
        </w:tc>
        <w:tc>
          <w:tcPr>
            <w:tcW w:w="6457" w:type="dxa"/>
            <w:tcBorders>
              <w:top w:val="single" w:sz="4" w:space="0" w:color="auto"/>
              <w:left w:val="single" w:sz="4" w:space="0" w:color="auto"/>
              <w:bottom w:val="single" w:sz="4" w:space="0" w:color="auto"/>
              <w:right w:val="single" w:sz="4" w:space="0" w:color="auto"/>
            </w:tcBorders>
            <w:hideMark/>
          </w:tcPr>
          <w:p w:rsidR="002B17A7" w:rsidRDefault="002B17A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Courier"/>
                <w:color w:val="000000"/>
                <w:kern w:val="0"/>
                <w:sz w:val="23"/>
                <w:szCs w:val="23"/>
              </w:rPr>
            </w:pPr>
            <w:r>
              <w:rPr>
                <w:rFonts w:ascii="細明體" w:eastAsia="細明體" w:hAnsi="細明體" w:cs="Courier" w:hint="eastAsia"/>
                <w:color w:val="000000"/>
                <w:kern w:val="0"/>
                <w:sz w:val="23"/>
                <w:szCs w:val="23"/>
              </w:rPr>
              <w:t>私立學校應於每學期開始二個月內，依下列規定提繳教職員退休、撫</w:t>
            </w:r>
            <w:proofErr w:type="gramStart"/>
            <w:r>
              <w:rPr>
                <w:rFonts w:ascii="細明體" w:eastAsia="細明體" w:hAnsi="細明體" w:cs="Courier" w:hint="eastAsia"/>
                <w:color w:val="000000"/>
                <w:kern w:val="0"/>
                <w:sz w:val="23"/>
                <w:szCs w:val="23"/>
              </w:rPr>
              <w:t>卹</w:t>
            </w:r>
            <w:proofErr w:type="gramEnd"/>
            <w:r>
              <w:rPr>
                <w:rFonts w:ascii="細明體" w:eastAsia="細明體" w:hAnsi="細明體" w:cs="Courier" w:hint="eastAsia"/>
                <w:color w:val="000000"/>
                <w:kern w:val="0"/>
                <w:sz w:val="23"/>
                <w:szCs w:val="23"/>
              </w:rPr>
              <w:t xml:space="preserve">、 離職及資遣準備金至儲金管理會： </w:t>
            </w:r>
          </w:p>
          <w:p w:rsidR="002B17A7" w:rsidRDefault="002B17A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Courier"/>
                <w:color w:val="000000"/>
                <w:kern w:val="0"/>
                <w:sz w:val="23"/>
                <w:szCs w:val="23"/>
              </w:rPr>
            </w:pPr>
            <w:r>
              <w:rPr>
                <w:rFonts w:ascii="細明體" w:eastAsia="細明體" w:hAnsi="細明體" w:cs="Courier" w:hint="eastAsia"/>
                <w:color w:val="000000"/>
                <w:kern w:val="0"/>
                <w:sz w:val="23"/>
                <w:szCs w:val="23"/>
              </w:rPr>
              <w:t>一、私立高級中等以上學校：</w:t>
            </w:r>
            <w:proofErr w:type="gramStart"/>
            <w:r>
              <w:rPr>
                <w:rFonts w:ascii="細明體" w:eastAsia="細明體" w:hAnsi="細明體" w:cs="Courier" w:hint="eastAsia"/>
                <w:color w:val="000000"/>
                <w:kern w:val="0"/>
                <w:sz w:val="23"/>
                <w:szCs w:val="23"/>
              </w:rPr>
              <w:t>提撥</w:t>
            </w:r>
            <w:proofErr w:type="gramEnd"/>
            <w:r>
              <w:rPr>
                <w:rFonts w:ascii="細明體" w:eastAsia="細明體" w:hAnsi="細明體" w:cs="Courier" w:hint="eastAsia"/>
                <w:color w:val="000000"/>
                <w:kern w:val="0"/>
                <w:sz w:val="23"/>
                <w:szCs w:val="23"/>
              </w:rPr>
              <w:t>相</w:t>
            </w:r>
            <w:r>
              <w:rPr>
                <w:rFonts w:ascii="細明體" w:eastAsia="細明體" w:hAnsi="細明體" w:cs="Courier" w:hint="eastAsia"/>
                <w:color w:val="000000"/>
                <w:kern w:val="0"/>
                <w:sz w:val="23"/>
                <w:szCs w:val="23"/>
              </w:rPr>
              <w:lastRenderedPageBreak/>
              <w:t>當於學費百分之三之金額。</w:t>
            </w:r>
          </w:p>
          <w:p w:rsidR="002B17A7" w:rsidRDefault="002B17A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Courier"/>
                <w:color w:val="000000"/>
                <w:kern w:val="0"/>
                <w:sz w:val="23"/>
                <w:szCs w:val="23"/>
              </w:rPr>
            </w:pPr>
            <w:r>
              <w:rPr>
                <w:rFonts w:ascii="細明體" w:eastAsia="細明體" w:hAnsi="細明體" w:cs="Courier" w:hint="eastAsia"/>
                <w:color w:val="000000"/>
                <w:kern w:val="0"/>
                <w:sz w:val="23"/>
                <w:szCs w:val="23"/>
              </w:rPr>
              <w:t>二、私立國民中、小學：</w:t>
            </w:r>
            <w:proofErr w:type="gramStart"/>
            <w:r>
              <w:rPr>
                <w:rFonts w:ascii="細明體" w:eastAsia="細明體" w:hAnsi="細明體" w:cs="Courier" w:hint="eastAsia"/>
                <w:color w:val="000000"/>
                <w:kern w:val="0"/>
                <w:sz w:val="23"/>
                <w:szCs w:val="23"/>
              </w:rPr>
              <w:t>提撥</w:t>
            </w:r>
            <w:proofErr w:type="gramEnd"/>
            <w:r>
              <w:rPr>
                <w:rFonts w:ascii="細明體" w:eastAsia="細明體" w:hAnsi="細明體" w:cs="Courier" w:hint="eastAsia"/>
                <w:color w:val="000000"/>
                <w:kern w:val="0"/>
                <w:sz w:val="23"/>
                <w:szCs w:val="23"/>
              </w:rPr>
              <w:t>相當於雜費百分之二點一之金額。</w:t>
            </w:r>
          </w:p>
          <w:p w:rsidR="002B17A7" w:rsidRDefault="002B17A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Courier"/>
                <w:color w:val="000000"/>
                <w:kern w:val="0"/>
                <w:sz w:val="23"/>
                <w:szCs w:val="23"/>
              </w:rPr>
            </w:pPr>
            <w:r>
              <w:rPr>
                <w:rFonts w:ascii="細明體" w:eastAsia="細明體" w:hAnsi="細明體" w:cs="Courier" w:hint="eastAsia"/>
                <w:color w:val="000000"/>
                <w:kern w:val="0"/>
                <w:sz w:val="23"/>
                <w:szCs w:val="23"/>
              </w:rPr>
              <w:t>儲金管理會應將前項提繳金額之三分之二撥入各該私立學校之學校儲金</w:t>
            </w:r>
            <w:proofErr w:type="gramStart"/>
            <w:r>
              <w:rPr>
                <w:rFonts w:ascii="細明體" w:eastAsia="細明體" w:hAnsi="細明體" w:cs="Courier" w:hint="eastAsia"/>
                <w:color w:val="000000"/>
                <w:kern w:val="0"/>
                <w:sz w:val="23"/>
                <w:szCs w:val="23"/>
              </w:rPr>
              <w:t>準</w:t>
            </w:r>
            <w:proofErr w:type="gramEnd"/>
            <w:r>
              <w:rPr>
                <w:rFonts w:ascii="細明體" w:eastAsia="細明體" w:hAnsi="細明體" w:cs="Courier" w:hint="eastAsia"/>
                <w:color w:val="000000"/>
                <w:kern w:val="0"/>
                <w:sz w:val="23"/>
                <w:szCs w:val="23"/>
              </w:rPr>
              <w:t xml:space="preserve"> </w:t>
            </w:r>
            <w:proofErr w:type="gramStart"/>
            <w:r>
              <w:rPr>
                <w:rFonts w:ascii="細明體" w:eastAsia="細明體" w:hAnsi="細明體" w:cs="Courier" w:hint="eastAsia"/>
                <w:color w:val="000000"/>
                <w:kern w:val="0"/>
                <w:sz w:val="23"/>
                <w:szCs w:val="23"/>
              </w:rPr>
              <w:t>備專戶內</w:t>
            </w:r>
            <w:proofErr w:type="gramEnd"/>
            <w:r>
              <w:rPr>
                <w:rFonts w:ascii="細明體" w:eastAsia="細明體" w:hAnsi="細明體" w:cs="Courier" w:hint="eastAsia"/>
                <w:color w:val="000000"/>
                <w:kern w:val="0"/>
                <w:sz w:val="23"/>
                <w:szCs w:val="23"/>
              </w:rPr>
              <w:t>，作為學校依本條例規定</w:t>
            </w:r>
            <w:proofErr w:type="gramStart"/>
            <w:r>
              <w:rPr>
                <w:rFonts w:ascii="細明體" w:eastAsia="細明體" w:hAnsi="細明體" w:cs="Courier" w:hint="eastAsia"/>
                <w:color w:val="000000"/>
                <w:kern w:val="0"/>
                <w:sz w:val="23"/>
                <w:szCs w:val="23"/>
              </w:rPr>
              <w:t>按月撥繳儲金</w:t>
            </w:r>
            <w:proofErr w:type="gramEnd"/>
            <w:r>
              <w:rPr>
                <w:rFonts w:ascii="細明體" w:eastAsia="細明體" w:hAnsi="細明體" w:cs="Courier" w:hint="eastAsia"/>
                <w:color w:val="000000"/>
                <w:kern w:val="0"/>
                <w:sz w:val="23"/>
                <w:szCs w:val="23"/>
              </w:rPr>
              <w:t xml:space="preserve">之準備；餘三分之一撥入 </w:t>
            </w:r>
            <w:proofErr w:type="gramStart"/>
            <w:r>
              <w:rPr>
                <w:rFonts w:ascii="細明體" w:eastAsia="細明體" w:hAnsi="細明體" w:cs="Courier" w:hint="eastAsia"/>
                <w:color w:val="000000"/>
                <w:kern w:val="0"/>
                <w:sz w:val="23"/>
                <w:szCs w:val="23"/>
              </w:rPr>
              <w:t>原私校</w:t>
            </w:r>
            <w:proofErr w:type="gramEnd"/>
            <w:r>
              <w:rPr>
                <w:rFonts w:ascii="細明體" w:eastAsia="細明體" w:hAnsi="細明體" w:cs="Courier" w:hint="eastAsia"/>
                <w:color w:val="000000"/>
                <w:kern w:val="0"/>
                <w:sz w:val="23"/>
                <w:szCs w:val="23"/>
              </w:rPr>
              <w:t>退撫基金，用以支付本條例施行前教職員工年資應付之退休、撫</w:t>
            </w:r>
            <w:proofErr w:type="gramStart"/>
            <w:r>
              <w:rPr>
                <w:rFonts w:ascii="細明體" w:eastAsia="細明體" w:hAnsi="細明體" w:cs="Courier" w:hint="eastAsia"/>
                <w:color w:val="000000"/>
                <w:kern w:val="0"/>
                <w:sz w:val="23"/>
                <w:szCs w:val="23"/>
              </w:rPr>
              <w:t>卹</w:t>
            </w:r>
            <w:proofErr w:type="gramEnd"/>
            <w:r>
              <w:rPr>
                <w:rFonts w:ascii="細明體" w:eastAsia="細明體" w:hAnsi="細明體" w:cs="Courier" w:hint="eastAsia"/>
                <w:color w:val="000000"/>
                <w:kern w:val="0"/>
                <w:sz w:val="23"/>
                <w:szCs w:val="23"/>
              </w:rPr>
              <w:t xml:space="preserve"> 、資遣給與。 </w:t>
            </w:r>
          </w:p>
          <w:p w:rsidR="002B17A7" w:rsidRDefault="002B17A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Courier"/>
                <w:color w:val="000000"/>
                <w:kern w:val="0"/>
                <w:sz w:val="23"/>
                <w:szCs w:val="23"/>
              </w:rPr>
            </w:pPr>
            <w:r>
              <w:rPr>
                <w:rFonts w:ascii="細明體" w:eastAsia="細明體" w:hAnsi="細明體" w:cs="Courier" w:hint="eastAsia"/>
                <w:color w:val="000000"/>
                <w:kern w:val="0"/>
                <w:sz w:val="23"/>
                <w:szCs w:val="23"/>
              </w:rPr>
              <w:t>私立學校未依第一項規定期限提繳或足額提繳者，自期限屆滿之次日起至 完繳前一日止，每逾一日加徵其應提繳金額百分之三之滯納金，最高以應 提繳金額之一倍為限，其滯納金收入，應歸入各該私立學校之學校儲金</w:t>
            </w:r>
            <w:proofErr w:type="gramStart"/>
            <w:r>
              <w:rPr>
                <w:rFonts w:ascii="細明體" w:eastAsia="細明體" w:hAnsi="細明體" w:cs="Courier" w:hint="eastAsia"/>
                <w:color w:val="000000"/>
                <w:kern w:val="0"/>
                <w:sz w:val="23"/>
                <w:szCs w:val="23"/>
              </w:rPr>
              <w:t>準</w:t>
            </w:r>
            <w:proofErr w:type="gramEnd"/>
            <w:r>
              <w:rPr>
                <w:rFonts w:ascii="細明體" w:eastAsia="細明體" w:hAnsi="細明體" w:cs="Courier" w:hint="eastAsia"/>
                <w:color w:val="000000"/>
                <w:kern w:val="0"/>
                <w:sz w:val="23"/>
                <w:szCs w:val="23"/>
              </w:rPr>
              <w:t xml:space="preserve"> </w:t>
            </w:r>
            <w:proofErr w:type="gramStart"/>
            <w:r>
              <w:rPr>
                <w:rFonts w:ascii="細明體" w:eastAsia="細明體" w:hAnsi="細明體" w:cs="Courier" w:hint="eastAsia"/>
                <w:color w:val="000000"/>
                <w:kern w:val="0"/>
                <w:sz w:val="23"/>
                <w:szCs w:val="23"/>
              </w:rPr>
              <w:t>備專戶</w:t>
            </w:r>
            <w:proofErr w:type="gramEnd"/>
            <w:r>
              <w:rPr>
                <w:rFonts w:ascii="細明體" w:eastAsia="細明體" w:hAnsi="細明體" w:cs="Courier" w:hint="eastAsia"/>
                <w:color w:val="000000"/>
                <w:kern w:val="0"/>
                <w:sz w:val="23"/>
                <w:szCs w:val="23"/>
              </w:rPr>
              <w:t xml:space="preserve">。 </w:t>
            </w:r>
          </w:p>
          <w:p w:rsidR="002B17A7" w:rsidRDefault="002B17A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Courier"/>
                <w:color w:val="000000"/>
                <w:kern w:val="0"/>
                <w:sz w:val="23"/>
                <w:szCs w:val="23"/>
              </w:rPr>
            </w:pPr>
            <w:r>
              <w:rPr>
                <w:rFonts w:ascii="細明體" w:eastAsia="細明體" w:hAnsi="細明體" w:cs="Courier" w:hint="eastAsia"/>
                <w:color w:val="000000"/>
                <w:kern w:val="0"/>
                <w:sz w:val="23"/>
                <w:szCs w:val="23"/>
              </w:rPr>
              <w:t>依第四條第一項規定共同撥繳款項，按教職員本（年功）薪加一倍百分之十二之費率，以下列比率按月</w:t>
            </w:r>
            <w:proofErr w:type="gramStart"/>
            <w:r>
              <w:rPr>
                <w:rFonts w:ascii="細明體" w:eastAsia="細明體" w:hAnsi="細明體" w:cs="Courier" w:hint="eastAsia"/>
                <w:color w:val="000000"/>
                <w:kern w:val="0"/>
                <w:sz w:val="23"/>
                <w:szCs w:val="23"/>
              </w:rPr>
              <w:t>共同撥繳至</w:t>
            </w:r>
            <w:proofErr w:type="gramEnd"/>
            <w:r>
              <w:rPr>
                <w:rFonts w:ascii="細明體" w:eastAsia="細明體" w:hAnsi="細明體" w:cs="Courier" w:hint="eastAsia"/>
                <w:color w:val="000000"/>
                <w:kern w:val="0"/>
                <w:sz w:val="23"/>
                <w:szCs w:val="23"/>
              </w:rPr>
              <w:t xml:space="preserve">個人退撫儲金專戶： </w:t>
            </w:r>
          </w:p>
          <w:p w:rsidR="002B17A7" w:rsidRDefault="002B17A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Courier"/>
                <w:color w:val="000000"/>
                <w:kern w:val="0"/>
                <w:sz w:val="23"/>
                <w:szCs w:val="23"/>
              </w:rPr>
            </w:pPr>
            <w:r>
              <w:rPr>
                <w:rFonts w:ascii="細明體" w:eastAsia="細明體" w:hAnsi="細明體" w:cs="Courier" w:hint="eastAsia"/>
                <w:color w:val="000000"/>
                <w:kern w:val="0"/>
                <w:sz w:val="23"/>
                <w:szCs w:val="23"/>
              </w:rPr>
              <w:t>一、</w:t>
            </w:r>
            <w:proofErr w:type="gramStart"/>
            <w:r>
              <w:rPr>
                <w:rFonts w:ascii="細明體" w:eastAsia="細明體" w:hAnsi="細明體" w:cs="Courier" w:hint="eastAsia"/>
                <w:color w:val="000000"/>
                <w:kern w:val="0"/>
                <w:sz w:val="23"/>
                <w:szCs w:val="23"/>
              </w:rPr>
              <w:t>教職員撥繳百分之三十五</w:t>
            </w:r>
            <w:proofErr w:type="gramEnd"/>
            <w:r>
              <w:rPr>
                <w:rFonts w:ascii="細明體" w:eastAsia="細明體" w:hAnsi="細明體" w:cs="Courier" w:hint="eastAsia"/>
                <w:color w:val="000000"/>
                <w:kern w:val="0"/>
                <w:sz w:val="23"/>
                <w:szCs w:val="23"/>
              </w:rPr>
              <w:t xml:space="preserve">。 </w:t>
            </w:r>
          </w:p>
          <w:p w:rsidR="002B17A7" w:rsidRDefault="002B17A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Courier"/>
                <w:color w:val="000000"/>
                <w:kern w:val="0"/>
                <w:sz w:val="23"/>
                <w:szCs w:val="23"/>
              </w:rPr>
            </w:pPr>
            <w:r>
              <w:rPr>
                <w:rFonts w:ascii="細明體" w:eastAsia="細明體" w:hAnsi="細明體" w:cs="Courier" w:hint="eastAsia"/>
                <w:color w:val="000000"/>
                <w:kern w:val="0"/>
                <w:sz w:val="23"/>
                <w:szCs w:val="23"/>
              </w:rPr>
              <w:t>二、學校儲金準備專</w:t>
            </w:r>
            <w:proofErr w:type="gramStart"/>
            <w:r>
              <w:rPr>
                <w:rFonts w:ascii="細明體" w:eastAsia="細明體" w:hAnsi="細明體" w:cs="Courier" w:hint="eastAsia"/>
                <w:color w:val="000000"/>
                <w:kern w:val="0"/>
                <w:sz w:val="23"/>
                <w:szCs w:val="23"/>
              </w:rPr>
              <w:t>戶撥繳百分之二十六</w:t>
            </w:r>
            <w:proofErr w:type="gramEnd"/>
            <w:r>
              <w:rPr>
                <w:rFonts w:ascii="細明體" w:eastAsia="細明體" w:hAnsi="細明體" w:cs="Courier" w:hint="eastAsia"/>
                <w:color w:val="000000"/>
                <w:kern w:val="0"/>
                <w:sz w:val="23"/>
                <w:szCs w:val="23"/>
              </w:rPr>
              <w:t xml:space="preserve">。 </w:t>
            </w:r>
          </w:p>
          <w:p w:rsidR="002B17A7" w:rsidRDefault="002B17A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Courier"/>
                <w:color w:val="000000"/>
                <w:kern w:val="0"/>
                <w:sz w:val="23"/>
                <w:szCs w:val="23"/>
              </w:rPr>
            </w:pPr>
            <w:r>
              <w:rPr>
                <w:rFonts w:ascii="細明體" w:eastAsia="細明體" w:hAnsi="細明體" w:cs="Courier" w:hint="eastAsia"/>
                <w:color w:val="000000"/>
                <w:kern w:val="0"/>
                <w:sz w:val="23"/>
                <w:szCs w:val="23"/>
              </w:rPr>
              <w:t>三、私立</w:t>
            </w:r>
            <w:proofErr w:type="gramStart"/>
            <w:r>
              <w:rPr>
                <w:rFonts w:ascii="細明體" w:eastAsia="細明體" w:hAnsi="細明體" w:cs="Courier" w:hint="eastAsia"/>
                <w:color w:val="000000"/>
                <w:kern w:val="0"/>
                <w:sz w:val="23"/>
                <w:szCs w:val="23"/>
              </w:rPr>
              <w:t>學校撥繳百分之六點五</w:t>
            </w:r>
            <w:proofErr w:type="gramEnd"/>
            <w:r>
              <w:rPr>
                <w:rFonts w:ascii="細明體" w:eastAsia="細明體" w:hAnsi="細明體" w:cs="Courier" w:hint="eastAsia"/>
                <w:color w:val="000000"/>
                <w:kern w:val="0"/>
                <w:sz w:val="23"/>
                <w:szCs w:val="23"/>
              </w:rPr>
              <w:t xml:space="preserve">。 </w:t>
            </w:r>
          </w:p>
          <w:p w:rsidR="002B17A7" w:rsidRDefault="002B17A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Courier"/>
                <w:color w:val="000000"/>
                <w:kern w:val="0"/>
                <w:sz w:val="23"/>
                <w:szCs w:val="23"/>
              </w:rPr>
            </w:pPr>
            <w:r>
              <w:rPr>
                <w:rFonts w:ascii="細明體" w:eastAsia="細明體" w:hAnsi="細明體" w:cs="Courier" w:hint="eastAsia"/>
                <w:color w:val="000000"/>
                <w:kern w:val="0"/>
                <w:sz w:val="23"/>
                <w:szCs w:val="23"/>
              </w:rPr>
              <w:t>四、學校</w:t>
            </w:r>
            <w:proofErr w:type="gramStart"/>
            <w:r>
              <w:rPr>
                <w:rFonts w:ascii="細明體" w:eastAsia="細明體" w:hAnsi="細明體" w:cs="Courier" w:hint="eastAsia"/>
                <w:color w:val="000000"/>
                <w:kern w:val="0"/>
                <w:sz w:val="23"/>
                <w:szCs w:val="23"/>
              </w:rPr>
              <w:t>主管機關撥繳百分之三十二點五</w:t>
            </w:r>
            <w:proofErr w:type="gramEnd"/>
            <w:r>
              <w:rPr>
                <w:rFonts w:ascii="細明體" w:eastAsia="細明體" w:hAnsi="細明體" w:cs="Courier" w:hint="eastAsia"/>
                <w:color w:val="000000"/>
                <w:kern w:val="0"/>
                <w:sz w:val="23"/>
                <w:szCs w:val="23"/>
              </w:rPr>
              <w:t xml:space="preserve">。 </w:t>
            </w:r>
          </w:p>
          <w:p w:rsidR="002B17A7" w:rsidRDefault="002B17A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Courier"/>
                <w:color w:val="000000"/>
                <w:kern w:val="0"/>
                <w:sz w:val="23"/>
                <w:szCs w:val="23"/>
              </w:rPr>
            </w:pPr>
            <w:r>
              <w:rPr>
                <w:rFonts w:ascii="細明體" w:eastAsia="細明體" w:hAnsi="細明體" w:cs="Courier" w:hint="eastAsia"/>
                <w:color w:val="000000"/>
                <w:kern w:val="0"/>
                <w:sz w:val="23"/>
                <w:szCs w:val="23"/>
              </w:rPr>
              <w:t>（以下略）</w:t>
            </w:r>
          </w:p>
        </w:tc>
        <w:tc>
          <w:tcPr>
            <w:tcW w:w="6458" w:type="dxa"/>
            <w:tcBorders>
              <w:top w:val="single" w:sz="4" w:space="0" w:color="auto"/>
              <w:left w:val="single" w:sz="4" w:space="0" w:color="auto"/>
              <w:bottom w:val="single" w:sz="4" w:space="0" w:color="auto"/>
              <w:right w:val="single" w:sz="4" w:space="0" w:color="auto"/>
            </w:tcBorders>
          </w:tcPr>
          <w:p w:rsidR="002B17A7" w:rsidRDefault="002B17A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Courier"/>
                <w:color w:val="000000"/>
                <w:kern w:val="0"/>
                <w:sz w:val="23"/>
                <w:szCs w:val="23"/>
              </w:rPr>
            </w:pPr>
            <w:r>
              <w:rPr>
                <w:rFonts w:ascii="細明體" w:eastAsia="細明體" w:hAnsi="細明體" w:cs="Courier" w:hint="eastAsia"/>
                <w:color w:val="000000"/>
                <w:kern w:val="0"/>
                <w:sz w:val="23"/>
                <w:szCs w:val="23"/>
              </w:rPr>
              <w:lastRenderedPageBreak/>
              <w:t>私立學校應於每學期開始二個月內，依下列規定提繳教職員退休、撫</w:t>
            </w:r>
            <w:proofErr w:type="gramStart"/>
            <w:r>
              <w:rPr>
                <w:rFonts w:ascii="細明體" w:eastAsia="細明體" w:hAnsi="細明體" w:cs="Courier" w:hint="eastAsia"/>
                <w:color w:val="000000"/>
                <w:kern w:val="0"/>
                <w:sz w:val="23"/>
                <w:szCs w:val="23"/>
              </w:rPr>
              <w:t>卹</w:t>
            </w:r>
            <w:proofErr w:type="gramEnd"/>
            <w:r>
              <w:rPr>
                <w:rFonts w:ascii="細明體" w:eastAsia="細明體" w:hAnsi="細明體" w:cs="Courier" w:hint="eastAsia"/>
                <w:color w:val="000000"/>
                <w:kern w:val="0"/>
                <w:sz w:val="23"/>
                <w:szCs w:val="23"/>
              </w:rPr>
              <w:t xml:space="preserve">、 離職及資遣準備金至儲金管理會： </w:t>
            </w:r>
          </w:p>
          <w:p w:rsidR="002B17A7" w:rsidRDefault="002B17A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Courier"/>
                <w:color w:val="000000"/>
                <w:kern w:val="0"/>
                <w:sz w:val="23"/>
                <w:szCs w:val="23"/>
              </w:rPr>
            </w:pPr>
            <w:r>
              <w:rPr>
                <w:rFonts w:ascii="細明體" w:eastAsia="細明體" w:hAnsi="細明體" w:cs="Courier" w:hint="eastAsia"/>
                <w:color w:val="000000"/>
                <w:kern w:val="0"/>
                <w:sz w:val="23"/>
                <w:szCs w:val="23"/>
              </w:rPr>
              <w:t>一、私立高級中等以上學校：</w:t>
            </w:r>
            <w:proofErr w:type="gramStart"/>
            <w:r>
              <w:rPr>
                <w:rFonts w:ascii="細明體" w:eastAsia="細明體" w:hAnsi="細明體" w:cs="Courier" w:hint="eastAsia"/>
                <w:color w:val="000000"/>
                <w:kern w:val="0"/>
                <w:sz w:val="23"/>
                <w:szCs w:val="23"/>
              </w:rPr>
              <w:t>提撥</w:t>
            </w:r>
            <w:proofErr w:type="gramEnd"/>
            <w:r>
              <w:rPr>
                <w:rFonts w:ascii="細明體" w:eastAsia="細明體" w:hAnsi="細明體" w:cs="Courier" w:hint="eastAsia"/>
                <w:color w:val="000000"/>
                <w:kern w:val="0"/>
                <w:sz w:val="23"/>
                <w:szCs w:val="23"/>
              </w:rPr>
              <w:t>相</w:t>
            </w:r>
            <w:r>
              <w:rPr>
                <w:rFonts w:ascii="細明體" w:eastAsia="細明體" w:hAnsi="細明體" w:cs="Courier" w:hint="eastAsia"/>
                <w:color w:val="000000"/>
                <w:kern w:val="0"/>
                <w:sz w:val="23"/>
                <w:szCs w:val="23"/>
              </w:rPr>
              <w:lastRenderedPageBreak/>
              <w:t>當於學費百分之三之金額。</w:t>
            </w:r>
          </w:p>
          <w:p w:rsidR="002B17A7" w:rsidRDefault="002B17A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Courier"/>
                <w:color w:val="000000"/>
                <w:kern w:val="0"/>
                <w:sz w:val="23"/>
                <w:szCs w:val="23"/>
              </w:rPr>
            </w:pPr>
            <w:r>
              <w:rPr>
                <w:rFonts w:ascii="細明體" w:eastAsia="細明體" w:hAnsi="細明體" w:cs="Courier" w:hint="eastAsia"/>
                <w:color w:val="000000"/>
                <w:kern w:val="0"/>
                <w:sz w:val="23"/>
                <w:szCs w:val="23"/>
              </w:rPr>
              <w:t>二、私立國民中、小學：</w:t>
            </w:r>
            <w:proofErr w:type="gramStart"/>
            <w:r>
              <w:rPr>
                <w:rFonts w:ascii="細明體" w:eastAsia="細明體" w:hAnsi="細明體" w:cs="Courier" w:hint="eastAsia"/>
                <w:color w:val="000000"/>
                <w:kern w:val="0"/>
                <w:sz w:val="23"/>
                <w:szCs w:val="23"/>
              </w:rPr>
              <w:t>提撥</w:t>
            </w:r>
            <w:proofErr w:type="gramEnd"/>
            <w:r>
              <w:rPr>
                <w:rFonts w:ascii="細明體" w:eastAsia="細明體" w:hAnsi="細明體" w:cs="Courier" w:hint="eastAsia"/>
                <w:color w:val="000000"/>
                <w:kern w:val="0"/>
                <w:sz w:val="23"/>
                <w:szCs w:val="23"/>
              </w:rPr>
              <w:t>相當於雜費百分之二點一之金額。</w:t>
            </w:r>
          </w:p>
          <w:p w:rsidR="002B17A7" w:rsidRDefault="002B17A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Courier"/>
                <w:color w:val="000000"/>
                <w:kern w:val="0"/>
                <w:sz w:val="23"/>
                <w:szCs w:val="23"/>
              </w:rPr>
            </w:pPr>
            <w:r>
              <w:rPr>
                <w:rFonts w:ascii="細明體" w:eastAsia="細明體" w:hAnsi="細明體" w:cs="Courier" w:hint="eastAsia"/>
                <w:color w:val="000000"/>
                <w:kern w:val="0"/>
                <w:sz w:val="23"/>
                <w:szCs w:val="23"/>
              </w:rPr>
              <w:t>儲金管理會應將前項提繳金額之三分之二撥入各該私立學校之學校儲金</w:t>
            </w:r>
            <w:proofErr w:type="gramStart"/>
            <w:r>
              <w:rPr>
                <w:rFonts w:ascii="細明體" w:eastAsia="細明體" w:hAnsi="細明體" w:cs="Courier" w:hint="eastAsia"/>
                <w:color w:val="000000"/>
                <w:kern w:val="0"/>
                <w:sz w:val="23"/>
                <w:szCs w:val="23"/>
              </w:rPr>
              <w:t>準</w:t>
            </w:r>
            <w:proofErr w:type="gramEnd"/>
            <w:r>
              <w:rPr>
                <w:rFonts w:ascii="細明體" w:eastAsia="細明體" w:hAnsi="細明體" w:cs="Courier" w:hint="eastAsia"/>
                <w:color w:val="000000"/>
                <w:kern w:val="0"/>
                <w:sz w:val="23"/>
                <w:szCs w:val="23"/>
              </w:rPr>
              <w:t xml:space="preserve"> </w:t>
            </w:r>
            <w:proofErr w:type="gramStart"/>
            <w:r>
              <w:rPr>
                <w:rFonts w:ascii="細明體" w:eastAsia="細明體" w:hAnsi="細明體" w:cs="Courier" w:hint="eastAsia"/>
                <w:color w:val="000000"/>
                <w:kern w:val="0"/>
                <w:sz w:val="23"/>
                <w:szCs w:val="23"/>
              </w:rPr>
              <w:t>備專戶內</w:t>
            </w:r>
            <w:proofErr w:type="gramEnd"/>
            <w:r>
              <w:rPr>
                <w:rFonts w:ascii="細明體" w:eastAsia="細明體" w:hAnsi="細明體" w:cs="Courier" w:hint="eastAsia"/>
                <w:color w:val="000000"/>
                <w:kern w:val="0"/>
                <w:sz w:val="23"/>
                <w:szCs w:val="23"/>
              </w:rPr>
              <w:t>，作為學校依本條例規定</w:t>
            </w:r>
            <w:proofErr w:type="gramStart"/>
            <w:r>
              <w:rPr>
                <w:rFonts w:ascii="細明體" w:eastAsia="細明體" w:hAnsi="細明體" w:cs="Courier" w:hint="eastAsia"/>
                <w:color w:val="000000"/>
                <w:kern w:val="0"/>
                <w:sz w:val="23"/>
                <w:szCs w:val="23"/>
              </w:rPr>
              <w:t>按月撥繳儲金</w:t>
            </w:r>
            <w:proofErr w:type="gramEnd"/>
            <w:r>
              <w:rPr>
                <w:rFonts w:ascii="細明體" w:eastAsia="細明體" w:hAnsi="細明體" w:cs="Courier" w:hint="eastAsia"/>
                <w:color w:val="000000"/>
                <w:kern w:val="0"/>
                <w:sz w:val="23"/>
                <w:szCs w:val="23"/>
              </w:rPr>
              <w:t xml:space="preserve">之準備；餘三分之一撥入 </w:t>
            </w:r>
            <w:proofErr w:type="gramStart"/>
            <w:r>
              <w:rPr>
                <w:rFonts w:ascii="細明體" w:eastAsia="細明體" w:hAnsi="細明體" w:cs="Courier" w:hint="eastAsia"/>
                <w:color w:val="000000"/>
                <w:kern w:val="0"/>
                <w:sz w:val="23"/>
                <w:szCs w:val="23"/>
              </w:rPr>
              <w:t>原私校</w:t>
            </w:r>
            <w:proofErr w:type="gramEnd"/>
            <w:r>
              <w:rPr>
                <w:rFonts w:ascii="細明體" w:eastAsia="細明體" w:hAnsi="細明體" w:cs="Courier" w:hint="eastAsia"/>
                <w:color w:val="000000"/>
                <w:kern w:val="0"/>
                <w:sz w:val="23"/>
                <w:szCs w:val="23"/>
              </w:rPr>
              <w:t>退撫基金，用以支付本條例施行前教職員工年資應付之退休、撫</w:t>
            </w:r>
            <w:proofErr w:type="gramStart"/>
            <w:r>
              <w:rPr>
                <w:rFonts w:ascii="細明體" w:eastAsia="細明體" w:hAnsi="細明體" w:cs="Courier" w:hint="eastAsia"/>
                <w:color w:val="000000"/>
                <w:kern w:val="0"/>
                <w:sz w:val="23"/>
                <w:szCs w:val="23"/>
              </w:rPr>
              <w:t>卹</w:t>
            </w:r>
            <w:proofErr w:type="gramEnd"/>
            <w:r>
              <w:rPr>
                <w:rFonts w:ascii="細明體" w:eastAsia="細明體" w:hAnsi="細明體" w:cs="Courier" w:hint="eastAsia"/>
                <w:color w:val="000000"/>
                <w:kern w:val="0"/>
                <w:sz w:val="23"/>
                <w:szCs w:val="23"/>
              </w:rPr>
              <w:t xml:space="preserve"> 、資遣給與。 </w:t>
            </w:r>
          </w:p>
          <w:p w:rsidR="002B17A7" w:rsidRDefault="002B17A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Courier"/>
                <w:color w:val="000000"/>
                <w:kern w:val="0"/>
                <w:sz w:val="23"/>
                <w:szCs w:val="23"/>
              </w:rPr>
            </w:pPr>
            <w:r>
              <w:rPr>
                <w:rFonts w:ascii="細明體" w:eastAsia="細明體" w:hAnsi="細明體" w:cs="Courier" w:hint="eastAsia"/>
                <w:color w:val="000000"/>
                <w:kern w:val="0"/>
                <w:sz w:val="23"/>
                <w:szCs w:val="23"/>
              </w:rPr>
              <w:t>私立學校未依第一項規定期限提繳或足額提繳者，自期限屆滿之次日起至 完繳前一日止，每逾一日加徵其應提繳金額百分之三之滯納金，最高以應 提繳金額之一倍為限，其滯納金收入，應歸入各該私立學校之學校儲金</w:t>
            </w:r>
            <w:proofErr w:type="gramStart"/>
            <w:r>
              <w:rPr>
                <w:rFonts w:ascii="細明體" w:eastAsia="細明體" w:hAnsi="細明體" w:cs="Courier" w:hint="eastAsia"/>
                <w:color w:val="000000"/>
                <w:kern w:val="0"/>
                <w:sz w:val="23"/>
                <w:szCs w:val="23"/>
              </w:rPr>
              <w:t>準</w:t>
            </w:r>
            <w:proofErr w:type="gramEnd"/>
            <w:r>
              <w:rPr>
                <w:rFonts w:ascii="細明體" w:eastAsia="細明體" w:hAnsi="細明體" w:cs="Courier" w:hint="eastAsia"/>
                <w:color w:val="000000"/>
                <w:kern w:val="0"/>
                <w:sz w:val="23"/>
                <w:szCs w:val="23"/>
              </w:rPr>
              <w:t xml:space="preserve"> </w:t>
            </w:r>
            <w:proofErr w:type="gramStart"/>
            <w:r>
              <w:rPr>
                <w:rFonts w:ascii="細明體" w:eastAsia="細明體" w:hAnsi="細明體" w:cs="Courier" w:hint="eastAsia"/>
                <w:color w:val="000000"/>
                <w:kern w:val="0"/>
                <w:sz w:val="23"/>
                <w:szCs w:val="23"/>
              </w:rPr>
              <w:t>備專戶</w:t>
            </w:r>
            <w:proofErr w:type="gramEnd"/>
            <w:r>
              <w:rPr>
                <w:rFonts w:ascii="細明體" w:eastAsia="細明體" w:hAnsi="細明體" w:cs="Courier" w:hint="eastAsia"/>
                <w:color w:val="000000"/>
                <w:kern w:val="0"/>
                <w:sz w:val="23"/>
                <w:szCs w:val="23"/>
              </w:rPr>
              <w:t xml:space="preserve">。 </w:t>
            </w:r>
          </w:p>
          <w:p w:rsidR="002B17A7" w:rsidRDefault="002B17A7">
            <w:pPr>
              <w:rPr>
                <w:rFonts w:ascii="細明體" w:eastAsia="細明體" w:hAnsi="細明體" w:cs="Courier"/>
                <w:color w:val="000000"/>
                <w:kern w:val="0"/>
                <w:sz w:val="23"/>
                <w:szCs w:val="23"/>
              </w:rPr>
            </w:pPr>
            <w:r>
              <w:rPr>
                <w:rFonts w:ascii="細明體" w:eastAsia="細明體" w:hAnsi="細明體" w:cs="Courier" w:hint="eastAsia"/>
                <w:color w:val="000000"/>
                <w:kern w:val="0"/>
                <w:sz w:val="23"/>
                <w:szCs w:val="23"/>
              </w:rPr>
              <w:t>依第四條第一項規定共同撥繳款項，按教職員本（年功）薪加一倍</w:t>
            </w:r>
            <w:r>
              <w:rPr>
                <w:rFonts w:ascii="細明體" w:eastAsia="細明體" w:hAnsi="細明體" w:cs="Courier" w:hint="eastAsia"/>
                <w:b/>
                <w:color w:val="FF0000"/>
                <w:kern w:val="0"/>
                <w:sz w:val="23"/>
                <w:szCs w:val="23"/>
                <w:u w:val="single"/>
              </w:rPr>
              <w:t>百分之十八</w:t>
            </w:r>
            <w:r>
              <w:rPr>
                <w:rFonts w:ascii="細明體" w:eastAsia="細明體" w:hAnsi="細明體" w:cs="Courier" w:hint="eastAsia"/>
                <w:color w:val="000000"/>
                <w:kern w:val="0"/>
                <w:sz w:val="23"/>
                <w:szCs w:val="23"/>
              </w:rPr>
              <w:t>之費率，以下列比率按月</w:t>
            </w:r>
            <w:proofErr w:type="gramStart"/>
            <w:r>
              <w:rPr>
                <w:rFonts w:ascii="細明體" w:eastAsia="細明體" w:hAnsi="細明體" w:cs="Courier" w:hint="eastAsia"/>
                <w:color w:val="000000"/>
                <w:kern w:val="0"/>
                <w:sz w:val="23"/>
                <w:szCs w:val="23"/>
              </w:rPr>
              <w:t>共同撥繳至</w:t>
            </w:r>
            <w:proofErr w:type="gramEnd"/>
            <w:r>
              <w:rPr>
                <w:rFonts w:ascii="細明體" w:eastAsia="細明體" w:hAnsi="細明體" w:cs="Courier" w:hint="eastAsia"/>
                <w:color w:val="000000"/>
                <w:kern w:val="0"/>
                <w:sz w:val="23"/>
                <w:szCs w:val="23"/>
              </w:rPr>
              <w:t>個人退撫儲金專戶：</w:t>
            </w:r>
          </w:p>
          <w:p w:rsidR="002B17A7" w:rsidRDefault="002B17A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Courier"/>
                <w:color w:val="000000"/>
                <w:kern w:val="0"/>
                <w:sz w:val="23"/>
                <w:szCs w:val="23"/>
              </w:rPr>
            </w:pPr>
            <w:r>
              <w:rPr>
                <w:rFonts w:ascii="細明體" w:eastAsia="細明體" w:hAnsi="細明體" w:cs="Courier" w:hint="eastAsia"/>
                <w:color w:val="000000"/>
                <w:kern w:val="0"/>
                <w:sz w:val="23"/>
                <w:szCs w:val="23"/>
              </w:rPr>
              <w:t>一、</w:t>
            </w:r>
            <w:proofErr w:type="gramStart"/>
            <w:r>
              <w:rPr>
                <w:rFonts w:ascii="細明體" w:eastAsia="細明體" w:hAnsi="細明體" w:cs="Courier" w:hint="eastAsia"/>
                <w:color w:val="000000"/>
                <w:kern w:val="0"/>
                <w:sz w:val="23"/>
                <w:szCs w:val="23"/>
              </w:rPr>
              <w:t>教職員撥繳百分之三十五</w:t>
            </w:r>
            <w:proofErr w:type="gramEnd"/>
            <w:r>
              <w:rPr>
                <w:rFonts w:ascii="細明體" w:eastAsia="細明體" w:hAnsi="細明體" w:cs="Courier" w:hint="eastAsia"/>
                <w:color w:val="000000"/>
                <w:kern w:val="0"/>
                <w:sz w:val="23"/>
                <w:szCs w:val="23"/>
              </w:rPr>
              <w:t xml:space="preserve">。 </w:t>
            </w:r>
          </w:p>
          <w:p w:rsidR="002B17A7" w:rsidRDefault="002B17A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Courier"/>
                <w:color w:val="000000"/>
                <w:kern w:val="0"/>
                <w:sz w:val="23"/>
                <w:szCs w:val="23"/>
              </w:rPr>
            </w:pPr>
            <w:r>
              <w:rPr>
                <w:rFonts w:ascii="細明體" w:eastAsia="細明體" w:hAnsi="細明體" w:cs="Courier" w:hint="eastAsia"/>
                <w:color w:val="000000"/>
                <w:kern w:val="0"/>
                <w:sz w:val="23"/>
                <w:szCs w:val="23"/>
              </w:rPr>
              <w:t>二、學校儲金準備專</w:t>
            </w:r>
            <w:proofErr w:type="gramStart"/>
            <w:r>
              <w:rPr>
                <w:rFonts w:ascii="細明體" w:eastAsia="細明體" w:hAnsi="細明體" w:cs="Courier" w:hint="eastAsia"/>
                <w:color w:val="000000"/>
                <w:kern w:val="0"/>
                <w:sz w:val="23"/>
                <w:szCs w:val="23"/>
              </w:rPr>
              <w:t>戶撥繳百分之二十六</w:t>
            </w:r>
            <w:proofErr w:type="gramEnd"/>
            <w:r>
              <w:rPr>
                <w:rFonts w:ascii="細明體" w:eastAsia="細明體" w:hAnsi="細明體" w:cs="Courier" w:hint="eastAsia"/>
                <w:color w:val="000000"/>
                <w:kern w:val="0"/>
                <w:sz w:val="23"/>
                <w:szCs w:val="23"/>
              </w:rPr>
              <w:t xml:space="preserve">。 </w:t>
            </w:r>
          </w:p>
          <w:p w:rsidR="002B17A7" w:rsidRDefault="002B17A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Courier"/>
                <w:color w:val="000000"/>
                <w:kern w:val="0"/>
                <w:sz w:val="23"/>
                <w:szCs w:val="23"/>
              </w:rPr>
            </w:pPr>
            <w:r>
              <w:rPr>
                <w:rFonts w:ascii="細明體" w:eastAsia="細明體" w:hAnsi="細明體" w:cs="Courier" w:hint="eastAsia"/>
                <w:color w:val="000000"/>
                <w:kern w:val="0"/>
                <w:sz w:val="23"/>
                <w:szCs w:val="23"/>
              </w:rPr>
              <w:t>三、私立</w:t>
            </w:r>
            <w:proofErr w:type="gramStart"/>
            <w:r>
              <w:rPr>
                <w:rFonts w:ascii="細明體" w:eastAsia="細明體" w:hAnsi="細明體" w:cs="Courier" w:hint="eastAsia"/>
                <w:color w:val="000000"/>
                <w:kern w:val="0"/>
                <w:sz w:val="23"/>
                <w:szCs w:val="23"/>
              </w:rPr>
              <w:t>學校撥繳百分之六點五</w:t>
            </w:r>
            <w:proofErr w:type="gramEnd"/>
            <w:r>
              <w:rPr>
                <w:rFonts w:ascii="細明體" w:eastAsia="細明體" w:hAnsi="細明體" w:cs="Courier" w:hint="eastAsia"/>
                <w:color w:val="000000"/>
                <w:kern w:val="0"/>
                <w:sz w:val="23"/>
                <w:szCs w:val="23"/>
              </w:rPr>
              <w:t xml:space="preserve">。 </w:t>
            </w:r>
          </w:p>
          <w:p w:rsidR="002B17A7" w:rsidRDefault="002B17A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Courier"/>
                <w:color w:val="000000"/>
                <w:kern w:val="0"/>
                <w:sz w:val="23"/>
                <w:szCs w:val="23"/>
              </w:rPr>
            </w:pPr>
            <w:r>
              <w:rPr>
                <w:rFonts w:ascii="細明體" w:eastAsia="細明體" w:hAnsi="細明體" w:cs="Courier" w:hint="eastAsia"/>
                <w:color w:val="000000"/>
                <w:kern w:val="0"/>
                <w:sz w:val="23"/>
                <w:szCs w:val="23"/>
              </w:rPr>
              <w:t>四、學校</w:t>
            </w:r>
            <w:proofErr w:type="gramStart"/>
            <w:r>
              <w:rPr>
                <w:rFonts w:ascii="細明體" w:eastAsia="細明體" w:hAnsi="細明體" w:cs="Courier" w:hint="eastAsia"/>
                <w:color w:val="000000"/>
                <w:kern w:val="0"/>
                <w:sz w:val="23"/>
                <w:szCs w:val="23"/>
              </w:rPr>
              <w:t>主管機關撥繳百分之三十二點五</w:t>
            </w:r>
            <w:proofErr w:type="gramEnd"/>
            <w:r>
              <w:rPr>
                <w:rFonts w:ascii="細明體" w:eastAsia="細明體" w:hAnsi="細明體" w:cs="Courier" w:hint="eastAsia"/>
                <w:color w:val="000000"/>
                <w:kern w:val="0"/>
                <w:sz w:val="23"/>
                <w:szCs w:val="23"/>
              </w:rPr>
              <w:t xml:space="preserve">。 </w:t>
            </w:r>
          </w:p>
          <w:p w:rsidR="002B17A7" w:rsidRDefault="002B17A7">
            <w:pPr>
              <w:rPr>
                <w:rFonts w:eastAsiaTheme="minorEastAsia"/>
              </w:rPr>
            </w:pPr>
          </w:p>
        </w:tc>
      </w:tr>
    </w:tbl>
    <w:p w:rsidR="002B17A7" w:rsidRDefault="002B17A7" w:rsidP="002B17A7"/>
    <w:p w:rsidR="002B17A7" w:rsidRDefault="002B17A7" w:rsidP="002B17A7">
      <w:pPr>
        <w:widowControl/>
        <w:rPr>
          <w:sz w:val="28"/>
        </w:rPr>
      </w:pPr>
      <w:r>
        <w:rPr>
          <w:kern w:val="0"/>
          <w:sz w:val="28"/>
        </w:rPr>
        <w:br w:type="page"/>
      </w:r>
    </w:p>
    <w:p w:rsidR="002B17A7" w:rsidRPr="00627B0F" w:rsidRDefault="002B17A7" w:rsidP="00627B0F">
      <w:pPr>
        <w:jc w:val="center"/>
        <w:rPr>
          <w:szCs w:val="24"/>
        </w:rPr>
      </w:pPr>
      <w:r>
        <w:rPr>
          <w:rFonts w:hint="eastAsia"/>
        </w:rPr>
        <w:lastRenderedPageBreak/>
        <w:t>【修法財務評估】</w:t>
      </w:r>
      <w:bookmarkStart w:id="0" w:name="_GoBack"/>
      <w:bookmarkEnd w:id="0"/>
    </w:p>
    <w:p w:rsidR="002B17A7" w:rsidRDefault="002B17A7" w:rsidP="002B17A7">
      <w:pPr>
        <w:jc w:val="center"/>
      </w:pPr>
      <w:r>
        <w:rPr>
          <w:rFonts w:hint="eastAsia"/>
        </w:rPr>
        <w:t>壹、私校教師的公保年金給付率上升對公保財務之影響</w:t>
      </w:r>
    </w:p>
    <w:p w:rsidR="002B17A7" w:rsidRDefault="002B17A7" w:rsidP="002B17A7">
      <w:pPr>
        <w:pStyle w:val="a3"/>
        <w:widowControl/>
        <w:numPr>
          <w:ilvl w:val="0"/>
          <w:numId w:val="2"/>
        </w:numPr>
        <w:ind w:leftChars="0"/>
        <w:rPr>
          <w:szCs w:val="22"/>
        </w:rPr>
      </w:pPr>
      <w:r>
        <w:rPr>
          <w:rFonts w:hint="eastAsia"/>
          <w:szCs w:val="22"/>
        </w:rPr>
        <w:t>結論</w:t>
      </w:r>
    </w:p>
    <w:p w:rsidR="002B17A7" w:rsidRDefault="002B17A7" w:rsidP="002B17A7">
      <w:pPr>
        <w:pStyle w:val="a3"/>
        <w:spacing w:after="240"/>
        <w:ind w:leftChars="0"/>
        <w:rPr>
          <w:b/>
          <w:szCs w:val="22"/>
        </w:rPr>
      </w:pPr>
      <w:r>
        <w:rPr>
          <w:rFonts w:hint="eastAsia"/>
          <w:b/>
          <w:szCs w:val="22"/>
        </w:rPr>
        <w:t>當私立大專教師公保年金之給付率由</w:t>
      </w:r>
      <w:r>
        <w:rPr>
          <w:b/>
          <w:szCs w:val="22"/>
        </w:rPr>
        <w:t>1.3%</w:t>
      </w:r>
      <w:r>
        <w:rPr>
          <w:rFonts w:hint="eastAsia"/>
          <w:b/>
          <w:szCs w:val="22"/>
        </w:rPr>
        <w:t>調整為</w:t>
      </w:r>
      <w:r>
        <w:rPr>
          <w:b/>
          <w:szCs w:val="22"/>
        </w:rPr>
        <w:t>1.55%</w:t>
      </w:r>
      <w:r>
        <w:rPr>
          <w:rFonts w:hint="eastAsia"/>
          <w:b/>
          <w:szCs w:val="22"/>
        </w:rPr>
        <w:t>時，在未來</w:t>
      </w:r>
      <w:r>
        <w:rPr>
          <w:b/>
          <w:szCs w:val="22"/>
        </w:rPr>
        <w:t>50</w:t>
      </w:r>
      <w:r>
        <w:rPr>
          <w:rFonts w:hint="eastAsia"/>
          <w:b/>
          <w:szCs w:val="22"/>
        </w:rPr>
        <w:t>年（</w:t>
      </w:r>
      <w:r>
        <w:rPr>
          <w:b/>
          <w:szCs w:val="22"/>
        </w:rPr>
        <w:t>2016</w:t>
      </w:r>
      <w:r>
        <w:rPr>
          <w:rFonts w:hint="eastAsia"/>
          <w:b/>
          <w:szCs w:val="22"/>
        </w:rPr>
        <w:t>年－</w:t>
      </w:r>
      <w:r>
        <w:rPr>
          <w:b/>
          <w:szCs w:val="22"/>
        </w:rPr>
        <w:t>2065</w:t>
      </w:r>
      <w:r>
        <w:rPr>
          <w:rFonts w:hint="eastAsia"/>
          <w:b/>
          <w:szCs w:val="22"/>
        </w:rPr>
        <w:t>年），需要多花費約</w:t>
      </w:r>
      <w:r>
        <w:rPr>
          <w:b/>
          <w:szCs w:val="22"/>
        </w:rPr>
        <w:t>440</w:t>
      </w:r>
      <w:r>
        <w:rPr>
          <w:rFonts w:hint="eastAsia"/>
          <w:b/>
          <w:szCs w:val="22"/>
        </w:rPr>
        <w:t>億元，平均每年僅多出</w:t>
      </w:r>
      <w:r>
        <w:rPr>
          <w:b/>
          <w:szCs w:val="22"/>
        </w:rPr>
        <w:t>8.7</w:t>
      </w:r>
      <w:r>
        <w:rPr>
          <w:rFonts w:hint="eastAsia"/>
          <w:b/>
          <w:szCs w:val="22"/>
        </w:rPr>
        <w:t>－</w:t>
      </w:r>
      <w:r>
        <w:rPr>
          <w:b/>
          <w:szCs w:val="22"/>
        </w:rPr>
        <w:t>8.8</w:t>
      </w:r>
      <w:r>
        <w:rPr>
          <w:rFonts w:hint="eastAsia"/>
          <w:b/>
          <w:szCs w:val="22"/>
        </w:rPr>
        <w:t>億元，平均來說僅</w:t>
      </w:r>
      <w:proofErr w:type="gramStart"/>
      <w:r>
        <w:rPr>
          <w:rFonts w:hint="eastAsia"/>
          <w:b/>
          <w:szCs w:val="22"/>
        </w:rPr>
        <w:t>佔</w:t>
      </w:r>
      <w:proofErr w:type="gramEnd"/>
      <w:r>
        <w:rPr>
          <w:rFonts w:hint="eastAsia"/>
          <w:b/>
          <w:szCs w:val="22"/>
        </w:rPr>
        <w:t>每年期末結餘之</w:t>
      </w:r>
      <w:r>
        <w:rPr>
          <w:b/>
          <w:szCs w:val="22"/>
        </w:rPr>
        <w:t>0.5%</w:t>
      </w:r>
      <w:r>
        <w:rPr>
          <w:rFonts w:hint="eastAsia"/>
          <w:b/>
          <w:szCs w:val="22"/>
        </w:rPr>
        <w:t>。</w:t>
      </w:r>
    </w:p>
    <w:p w:rsidR="002B17A7" w:rsidRDefault="002B17A7" w:rsidP="002B17A7">
      <w:pPr>
        <w:pStyle w:val="a3"/>
        <w:widowControl/>
        <w:numPr>
          <w:ilvl w:val="0"/>
          <w:numId w:val="2"/>
        </w:numPr>
        <w:ind w:leftChars="0"/>
        <w:rPr>
          <w:szCs w:val="22"/>
        </w:rPr>
      </w:pPr>
      <w:r>
        <w:rPr>
          <w:rFonts w:hint="eastAsia"/>
          <w:szCs w:val="22"/>
        </w:rPr>
        <w:t>計算模型與假設</w:t>
      </w:r>
    </w:p>
    <w:p w:rsidR="002B17A7" w:rsidRDefault="002B17A7" w:rsidP="002B17A7">
      <w:pPr>
        <w:pStyle w:val="a3"/>
        <w:widowControl/>
        <w:numPr>
          <w:ilvl w:val="0"/>
          <w:numId w:val="3"/>
        </w:numPr>
        <w:ind w:leftChars="0"/>
        <w:rPr>
          <w:szCs w:val="22"/>
        </w:rPr>
      </w:pPr>
      <w:r>
        <w:rPr>
          <w:rFonts w:hint="eastAsia"/>
          <w:szCs w:val="22"/>
        </w:rPr>
        <w:t>財務負擔之計算示意圖</w:t>
      </w:r>
    </w:p>
    <w:p w:rsidR="002B17A7" w:rsidRDefault="002B17A7" w:rsidP="002B17A7">
      <w:pPr>
        <w:pStyle w:val="a3"/>
        <w:spacing w:after="240"/>
        <w:ind w:leftChars="0" w:left="960"/>
        <w:rPr>
          <w:szCs w:val="22"/>
        </w:rPr>
      </w:pPr>
      <w:r>
        <w:rPr>
          <w:rFonts w:hint="eastAsia"/>
          <w:szCs w:val="22"/>
        </w:rPr>
        <w:t>我們參考《公保保險費率精算報告書》，推算未來</w:t>
      </w:r>
      <w:r>
        <w:rPr>
          <w:szCs w:val="22"/>
        </w:rPr>
        <w:t>50</w:t>
      </w:r>
      <w:r>
        <w:rPr>
          <w:rFonts w:hint="eastAsia"/>
          <w:szCs w:val="22"/>
        </w:rPr>
        <w:t>年，因為給付率由</w:t>
      </w:r>
      <w:r>
        <w:rPr>
          <w:szCs w:val="22"/>
        </w:rPr>
        <w:t>1.3%</w:t>
      </w:r>
      <w:r>
        <w:rPr>
          <w:rFonts w:hint="eastAsia"/>
          <w:szCs w:val="22"/>
        </w:rPr>
        <w:t>調整為</w:t>
      </w:r>
      <w:r>
        <w:rPr>
          <w:szCs w:val="22"/>
        </w:rPr>
        <w:t>1.55%</w:t>
      </w:r>
      <w:r>
        <w:rPr>
          <w:rFonts w:hint="eastAsia"/>
          <w:szCs w:val="22"/>
        </w:rPr>
        <w:t>所多出的財務負擔，計算示意圖如下。每一個長條代表了教師工作與退休的生涯，其中橙色部分為工作年資，藍色部分則為</w:t>
      </w:r>
      <w:proofErr w:type="gramStart"/>
      <w:r>
        <w:rPr>
          <w:rFonts w:hint="eastAsia"/>
          <w:szCs w:val="22"/>
        </w:rPr>
        <w:t>平均餘命</w:t>
      </w:r>
      <w:proofErr w:type="gramEnd"/>
      <w:r>
        <w:rPr>
          <w:rFonts w:hint="eastAsia"/>
          <w:szCs w:val="22"/>
        </w:rPr>
        <w:t>，即教師得以領年金給付的年數。圖中紅色方框，標定出了未來</w:t>
      </w:r>
      <w:r>
        <w:rPr>
          <w:szCs w:val="22"/>
        </w:rPr>
        <w:t>50</w:t>
      </w:r>
      <w:r>
        <w:rPr>
          <w:rFonts w:hint="eastAsia"/>
          <w:szCs w:val="22"/>
        </w:rPr>
        <w:t>年的區間，</w:t>
      </w:r>
      <w:r>
        <w:rPr>
          <w:rFonts w:hint="eastAsia"/>
          <w:b/>
          <w:szCs w:val="22"/>
        </w:rPr>
        <w:t>我們的目標就是計算紅色方框中的藍色部分總共多少，即所有教師得以領取年金給付的總年數</w:t>
      </w:r>
      <w:r>
        <w:rPr>
          <w:rFonts w:hint="eastAsia"/>
          <w:szCs w:val="22"/>
        </w:rPr>
        <w:t>。我們將從公保年金得以回溯請領的</w:t>
      </w:r>
      <w:r>
        <w:rPr>
          <w:szCs w:val="22"/>
        </w:rPr>
        <w:t>2010</w:t>
      </w:r>
      <w:r>
        <w:rPr>
          <w:rFonts w:hint="eastAsia"/>
          <w:szCs w:val="22"/>
        </w:rPr>
        <w:t>年起算。</w:t>
      </w:r>
    </w:p>
    <w:p w:rsidR="002B17A7" w:rsidRDefault="002B17A7" w:rsidP="002B17A7">
      <w:pPr>
        <w:ind w:left="-993"/>
      </w:pPr>
      <w:r>
        <w:rPr>
          <w:noProof/>
        </w:rPr>
        <w:drawing>
          <wp:inline distT="0" distB="0" distL="0" distR="0">
            <wp:extent cx="6713855" cy="203771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13855" cy="2037715"/>
                    </a:xfrm>
                    <a:prstGeom prst="rect">
                      <a:avLst/>
                    </a:prstGeom>
                    <a:noFill/>
                    <a:ln>
                      <a:noFill/>
                    </a:ln>
                  </pic:spPr>
                </pic:pic>
              </a:graphicData>
            </a:graphic>
          </wp:inline>
        </w:drawing>
      </w:r>
    </w:p>
    <w:p w:rsidR="002B17A7" w:rsidRDefault="002B17A7" w:rsidP="002B17A7">
      <w:pPr>
        <w:pStyle w:val="a3"/>
        <w:widowControl/>
        <w:numPr>
          <w:ilvl w:val="0"/>
          <w:numId w:val="3"/>
        </w:numPr>
        <w:spacing w:before="240"/>
        <w:ind w:leftChars="0"/>
        <w:rPr>
          <w:szCs w:val="22"/>
        </w:rPr>
      </w:pPr>
      <w:r>
        <w:rPr>
          <w:rFonts w:hint="eastAsia"/>
          <w:szCs w:val="22"/>
        </w:rPr>
        <w:t>最後十年平均投保薪資：</w:t>
      </w:r>
      <w:r>
        <w:rPr>
          <w:szCs w:val="22"/>
        </w:rPr>
        <w:t>53,075</w:t>
      </w:r>
      <w:r>
        <w:rPr>
          <w:rFonts w:hint="eastAsia"/>
          <w:szCs w:val="22"/>
        </w:rPr>
        <w:t>元（教授等級最高本</w:t>
      </w:r>
      <w:proofErr w:type="gramStart"/>
      <w:r>
        <w:rPr>
          <w:rFonts w:hint="eastAsia"/>
          <w:szCs w:val="22"/>
        </w:rPr>
        <w:t>俸</w:t>
      </w:r>
      <w:proofErr w:type="gramEnd"/>
      <w:r>
        <w:rPr>
          <w:rFonts w:hint="eastAsia"/>
          <w:szCs w:val="22"/>
        </w:rPr>
        <w:t>）。</w:t>
      </w:r>
    </w:p>
    <w:p w:rsidR="002B17A7" w:rsidRDefault="002B17A7" w:rsidP="002B17A7">
      <w:pPr>
        <w:pStyle w:val="a3"/>
        <w:widowControl/>
        <w:numPr>
          <w:ilvl w:val="0"/>
          <w:numId w:val="3"/>
        </w:numPr>
        <w:ind w:leftChars="0"/>
        <w:rPr>
          <w:szCs w:val="22"/>
        </w:rPr>
      </w:pPr>
      <w:r>
        <w:rPr>
          <w:rFonts w:hint="eastAsia"/>
          <w:szCs w:val="22"/>
        </w:rPr>
        <w:t>平均工作年資：假設私立大專</w:t>
      </w:r>
      <w:proofErr w:type="gramStart"/>
      <w:r>
        <w:rPr>
          <w:rFonts w:hint="eastAsia"/>
          <w:szCs w:val="22"/>
        </w:rPr>
        <w:t>教師均為</w:t>
      </w:r>
      <w:r>
        <w:rPr>
          <w:szCs w:val="22"/>
        </w:rPr>
        <w:t>35</w:t>
      </w:r>
      <w:r>
        <w:rPr>
          <w:rFonts w:hint="eastAsia"/>
          <w:szCs w:val="22"/>
        </w:rPr>
        <w:t>歲</w:t>
      </w:r>
      <w:proofErr w:type="gramEnd"/>
      <w:r>
        <w:rPr>
          <w:rFonts w:hint="eastAsia"/>
          <w:szCs w:val="22"/>
        </w:rPr>
        <w:t>進入職場、</w:t>
      </w:r>
      <w:r>
        <w:rPr>
          <w:szCs w:val="22"/>
        </w:rPr>
        <w:t>62</w:t>
      </w:r>
      <w:r>
        <w:rPr>
          <w:rFonts w:hint="eastAsia"/>
          <w:szCs w:val="22"/>
        </w:rPr>
        <w:t>歲退休，即年資為</w:t>
      </w:r>
      <w:r>
        <w:rPr>
          <w:szCs w:val="22"/>
        </w:rPr>
        <w:t>27</w:t>
      </w:r>
      <w:r>
        <w:rPr>
          <w:rFonts w:hint="eastAsia"/>
          <w:szCs w:val="22"/>
        </w:rPr>
        <w:t>年。</w:t>
      </w:r>
    </w:p>
    <w:p w:rsidR="002B17A7" w:rsidRDefault="002B17A7" w:rsidP="002B17A7">
      <w:pPr>
        <w:pStyle w:val="a3"/>
        <w:widowControl/>
        <w:numPr>
          <w:ilvl w:val="0"/>
          <w:numId w:val="3"/>
        </w:numPr>
        <w:ind w:leftChars="0"/>
        <w:rPr>
          <w:szCs w:val="22"/>
        </w:rPr>
      </w:pPr>
      <w:proofErr w:type="gramStart"/>
      <w:r>
        <w:rPr>
          <w:rFonts w:hint="eastAsia"/>
          <w:szCs w:val="22"/>
        </w:rPr>
        <w:t>平均餘命</w:t>
      </w:r>
      <w:proofErr w:type="gramEnd"/>
      <w:r>
        <w:rPr>
          <w:rFonts w:hint="eastAsia"/>
          <w:szCs w:val="22"/>
        </w:rPr>
        <w:t>：根據</w:t>
      </w:r>
      <w:r>
        <w:rPr>
          <w:szCs w:val="22"/>
        </w:rPr>
        <w:t>104</w:t>
      </w:r>
      <w:r>
        <w:rPr>
          <w:rFonts w:hint="eastAsia"/>
          <w:szCs w:val="22"/>
        </w:rPr>
        <w:t>年簡易生命表，</w:t>
      </w:r>
      <w:r>
        <w:rPr>
          <w:szCs w:val="22"/>
        </w:rPr>
        <w:t>62</w:t>
      </w:r>
      <w:r>
        <w:rPr>
          <w:rFonts w:hint="eastAsia"/>
          <w:szCs w:val="22"/>
        </w:rPr>
        <w:t>歲人口的</w:t>
      </w:r>
      <w:proofErr w:type="gramStart"/>
      <w:r>
        <w:rPr>
          <w:rFonts w:hint="eastAsia"/>
          <w:szCs w:val="22"/>
        </w:rPr>
        <w:t>平均餘命為</w:t>
      </w:r>
      <w:proofErr w:type="gramEnd"/>
      <w:r>
        <w:rPr>
          <w:szCs w:val="22"/>
        </w:rPr>
        <w:t>22.34</w:t>
      </w:r>
      <w:r>
        <w:rPr>
          <w:rFonts w:hint="eastAsia"/>
          <w:szCs w:val="22"/>
        </w:rPr>
        <w:t>歲，我們以</w:t>
      </w:r>
      <w:r>
        <w:rPr>
          <w:szCs w:val="22"/>
        </w:rPr>
        <w:t>23</w:t>
      </w:r>
      <w:r>
        <w:rPr>
          <w:rFonts w:hint="eastAsia"/>
          <w:szCs w:val="22"/>
        </w:rPr>
        <w:t>歲計，表示私校教師平均可以領取年金給付的年數。</w:t>
      </w:r>
    </w:p>
    <w:p w:rsidR="002B17A7" w:rsidRDefault="002B17A7" w:rsidP="002B17A7">
      <w:pPr>
        <w:pStyle w:val="a3"/>
        <w:widowControl/>
        <w:numPr>
          <w:ilvl w:val="0"/>
          <w:numId w:val="3"/>
        </w:numPr>
        <w:ind w:leftChars="0"/>
        <w:rPr>
          <w:szCs w:val="22"/>
        </w:rPr>
      </w:pPr>
      <w:r>
        <w:rPr>
          <w:rFonts w:hint="eastAsia"/>
          <w:szCs w:val="22"/>
        </w:rPr>
        <w:t>未來每年私校教師總數</w:t>
      </w:r>
    </w:p>
    <w:p w:rsidR="002B17A7" w:rsidRDefault="002B17A7" w:rsidP="002B17A7">
      <w:pPr>
        <w:pStyle w:val="a3"/>
        <w:ind w:leftChars="0" w:left="960"/>
        <w:rPr>
          <w:szCs w:val="22"/>
        </w:rPr>
      </w:pPr>
      <w:r>
        <w:rPr>
          <w:szCs w:val="22"/>
        </w:rPr>
        <w:t>2016</w:t>
      </w:r>
      <w:r>
        <w:rPr>
          <w:rFonts w:hint="eastAsia"/>
          <w:szCs w:val="22"/>
        </w:rPr>
        <w:t>年的私校教師總數為</w:t>
      </w:r>
      <w:r>
        <w:rPr>
          <w:szCs w:val="22"/>
        </w:rPr>
        <w:t>28,997</w:t>
      </w:r>
      <w:r>
        <w:rPr>
          <w:rFonts w:hint="eastAsia"/>
          <w:szCs w:val="22"/>
        </w:rPr>
        <w:t>人，我們將以三種人口遞減速度進行試算：</w:t>
      </w:r>
    </w:p>
    <w:p w:rsidR="002B17A7" w:rsidRDefault="002B17A7" w:rsidP="002B17A7">
      <w:pPr>
        <w:pStyle w:val="a3"/>
        <w:widowControl/>
        <w:numPr>
          <w:ilvl w:val="0"/>
          <w:numId w:val="4"/>
        </w:numPr>
        <w:ind w:leftChars="0"/>
        <w:rPr>
          <w:szCs w:val="22"/>
        </w:rPr>
      </w:pPr>
      <w:r>
        <w:rPr>
          <w:szCs w:val="22"/>
        </w:rPr>
        <w:t>0%</w:t>
      </w:r>
      <w:r>
        <w:rPr>
          <w:rFonts w:hint="eastAsia"/>
          <w:szCs w:val="22"/>
        </w:rPr>
        <w:t>：假設私校教師數量不因為大學退場而有變動。</w:t>
      </w:r>
    </w:p>
    <w:p w:rsidR="002B17A7" w:rsidRDefault="002B17A7" w:rsidP="002B17A7">
      <w:pPr>
        <w:pStyle w:val="a3"/>
        <w:widowControl/>
        <w:numPr>
          <w:ilvl w:val="0"/>
          <w:numId w:val="4"/>
        </w:numPr>
        <w:ind w:leftChars="0"/>
        <w:rPr>
          <w:szCs w:val="22"/>
        </w:rPr>
      </w:pPr>
      <w:r>
        <w:rPr>
          <w:szCs w:val="22"/>
        </w:rPr>
        <w:t>0.4%</w:t>
      </w:r>
      <w:r>
        <w:rPr>
          <w:rFonts w:hint="eastAsia"/>
          <w:szCs w:val="22"/>
        </w:rPr>
        <w:t>：根據《公保第六次保險費率精算報告書》，取用</w:t>
      </w:r>
      <w:r>
        <w:rPr>
          <w:szCs w:val="22"/>
        </w:rPr>
        <w:t>2004</w:t>
      </w:r>
      <w:r>
        <w:rPr>
          <w:rFonts w:hint="eastAsia"/>
          <w:szCs w:val="22"/>
        </w:rPr>
        <w:t>至</w:t>
      </w:r>
      <w:r>
        <w:rPr>
          <w:szCs w:val="22"/>
        </w:rPr>
        <w:t>2013</w:t>
      </w:r>
      <w:r>
        <w:rPr>
          <w:rFonts w:hint="eastAsia"/>
          <w:szCs w:val="22"/>
        </w:rPr>
        <w:t>年公保被保險人數之平均減少比例。</w:t>
      </w:r>
    </w:p>
    <w:p w:rsidR="002B17A7" w:rsidRDefault="002B17A7" w:rsidP="002B17A7">
      <w:pPr>
        <w:pStyle w:val="a3"/>
        <w:widowControl/>
        <w:numPr>
          <w:ilvl w:val="0"/>
          <w:numId w:val="4"/>
        </w:numPr>
        <w:ind w:leftChars="0"/>
        <w:rPr>
          <w:szCs w:val="22"/>
        </w:rPr>
      </w:pPr>
      <w:r>
        <w:rPr>
          <w:szCs w:val="22"/>
        </w:rPr>
        <w:t>1.43%</w:t>
      </w:r>
      <w:r>
        <w:rPr>
          <w:rFonts w:hint="eastAsia"/>
          <w:szCs w:val="22"/>
        </w:rPr>
        <w:t>：取</w:t>
      </w:r>
      <w:proofErr w:type="gramStart"/>
      <w:r>
        <w:rPr>
          <w:rFonts w:hint="eastAsia"/>
          <w:szCs w:val="22"/>
        </w:rPr>
        <w:t>近五年私校</w:t>
      </w:r>
      <w:proofErr w:type="gramEnd"/>
      <w:r>
        <w:rPr>
          <w:rFonts w:hint="eastAsia"/>
          <w:szCs w:val="22"/>
        </w:rPr>
        <w:t>教師每年平均的減少比例。</w:t>
      </w:r>
    </w:p>
    <w:p w:rsidR="002B17A7" w:rsidRDefault="002B17A7" w:rsidP="002B17A7">
      <w:pPr>
        <w:pStyle w:val="a3"/>
        <w:widowControl/>
        <w:numPr>
          <w:ilvl w:val="0"/>
          <w:numId w:val="3"/>
        </w:numPr>
        <w:ind w:leftChars="0"/>
        <w:rPr>
          <w:szCs w:val="22"/>
        </w:rPr>
      </w:pPr>
      <w:r>
        <w:rPr>
          <w:rFonts w:hint="eastAsia"/>
          <w:szCs w:val="22"/>
        </w:rPr>
        <w:lastRenderedPageBreak/>
        <w:t>未來每年私校教師的退休與新進人數</w:t>
      </w:r>
    </w:p>
    <w:p w:rsidR="002B17A7" w:rsidRDefault="002B17A7" w:rsidP="002B17A7">
      <w:pPr>
        <w:pStyle w:val="a3"/>
        <w:widowControl/>
        <w:numPr>
          <w:ilvl w:val="0"/>
          <w:numId w:val="5"/>
        </w:numPr>
        <w:spacing w:after="240"/>
        <w:ind w:leftChars="0"/>
        <w:rPr>
          <w:szCs w:val="22"/>
        </w:rPr>
      </w:pPr>
      <w:r>
        <w:rPr>
          <w:rFonts w:hint="eastAsia"/>
          <w:szCs w:val="22"/>
        </w:rPr>
        <w:t>我們參考</w:t>
      </w:r>
      <w:r>
        <w:rPr>
          <w:szCs w:val="22"/>
        </w:rPr>
        <w:t>2010</w:t>
      </w:r>
      <w:r>
        <w:rPr>
          <w:rFonts w:hint="eastAsia"/>
          <w:szCs w:val="22"/>
        </w:rPr>
        <w:t>年和</w:t>
      </w:r>
      <w:r>
        <w:rPr>
          <w:szCs w:val="22"/>
        </w:rPr>
        <w:t>2016</w:t>
      </w:r>
      <w:r>
        <w:rPr>
          <w:rFonts w:hint="eastAsia"/>
          <w:szCs w:val="22"/>
        </w:rPr>
        <w:t>年的大專教師人口年齡結構，並假設公私立教師的結構相同，推算私校教師的人口年齡結構如下表。由於人數資料以五年為一區間，我們假設每一歲數的人數為該區間的人口數除以五，例如：</w:t>
      </w:r>
      <w:r>
        <w:rPr>
          <w:szCs w:val="22"/>
        </w:rPr>
        <w:t>2016</w:t>
      </w:r>
      <w:r>
        <w:rPr>
          <w:rFonts w:hint="eastAsia"/>
          <w:szCs w:val="22"/>
        </w:rPr>
        <w:t>年</w:t>
      </w:r>
      <w:r>
        <w:rPr>
          <w:szCs w:val="22"/>
        </w:rPr>
        <w:t>42</w:t>
      </w:r>
      <w:r>
        <w:rPr>
          <w:rFonts w:hint="eastAsia"/>
          <w:szCs w:val="22"/>
        </w:rPr>
        <w:t>歲之人數為</w:t>
      </w:r>
      <w:r>
        <w:rPr>
          <w:szCs w:val="22"/>
        </w:rPr>
        <w:t xml:space="preserve"> </w:t>
      </w:r>
      <m:oMath>
        <m:f>
          <m:fPr>
            <m:ctrlPr>
              <w:rPr>
                <w:rFonts w:ascii="Cambria Math" w:hAnsi="Cambria Math"/>
                <w:szCs w:val="22"/>
              </w:rPr>
            </m:ctrlPr>
          </m:fPr>
          <m:num>
            <m:r>
              <m:rPr>
                <m:sty m:val="p"/>
              </m:rPr>
              <w:rPr>
                <w:rFonts w:ascii="Cambria Math" w:hAnsi="Cambria Math"/>
                <w:szCs w:val="22"/>
              </w:rPr>
              <m:t>4,605</m:t>
            </m:r>
          </m:num>
          <m:den>
            <m:r>
              <m:rPr>
                <m:sty m:val="p"/>
              </m:rPr>
              <w:rPr>
                <w:rFonts w:ascii="Cambria Math" w:hAnsi="Cambria Math"/>
                <w:szCs w:val="22"/>
              </w:rPr>
              <m:t>5</m:t>
            </m:r>
          </m:den>
        </m:f>
        <m:r>
          <m:rPr>
            <m:sty m:val="p"/>
          </m:rPr>
          <w:rPr>
            <w:rFonts w:ascii="Cambria Math" w:hAnsi="Cambria Math"/>
            <w:szCs w:val="22"/>
          </w:rPr>
          <m:t>=921</m:t>
        </m:r>
      </m:oMath>
      <w:r>
        <w:rPr>
          <w:rFonts w:hint="eastAsia"/>
          <w:szCs w:val="22"/>
        </w:rPr>
        <w:t>。</w:t>
      </w:r>
    </w:p>
    <w:tbl>
      <w:tblPr>
        <w:tblStyle w:val="a4"/>
        <w:tblW w:w="0" w:type="auto"/>
        <w:jc w:val="center"/>
        <w:tblLook w:val="04A0" w:firstRow="1" w:lastRow="0" w:firstColumn="1" w:lastColumn="0" w:noHBand="0" w:noVBand="1"/>
      </w:tblPr>
      <w:tblGrid>
        <w:gridCol w:w="2154"/>
        <w:gridCol w:w="1843"/>
        <w:gridCol w:w="1843"/>
      </w:tblGrid>
      <w:tr w:rsidR="002B17A7" w:rsidTr="002B17A7">
        <w:trPr>
          <w:trHeight w:val="350"/>
          <w:jc w:val="center"/>
        </w:trPr>
        <w:tc>
          <w:tcPr>
            <w:tcW w:w="2154" w:type="dxa"/>
            <w:tcBorders>
              <w:top w:val="single" w:sz="4" w:space="0" w:color="auto"/>
              <w:left w:val="single" w:sz="4" w:space="0" w:color="auto"/>
              <w:bottom w:val="single" w:sz="4" w:space="0" w:color="auto"/>
              <w:right w:val="single" w:sz="4" w:space="0" w:color="auto"/>
            </w:tcBorders>
            <w:vAlign w:val="center"/>
          </w:tcPr>
          <w:p w:rsidR="002B17A7" w:rsidRDefault="002B17A7">
            <w:pPr>
              <w:jc w:val="center"/>
              <w:rPr>
                <w:rFonts w:eastAsiaTheme="minorEastAsia"/>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B17A7" w:rsidRDefault="002B17A7">
            <w:pPr>
              <w:jc w:val="center"/>
              <w:rPr>
                <w:rFonts w:eastAsiaTheme="minorEastAsia"/>
                <w:szCs w:val="22"/>
              </w:rPr>
            </w:pPr>
            <w:r>
              <w:rPr>
                <w:szCs w:val="22"/>
              </w:rPr>
              <w:t>2010</w:t>
            </w:r>
            <w:r>
              <w:rPr>
                <w:rFonts w:ascii="細明體" w:eastAsia="細明體" w:hAnsi="細明體" w:cs="細明體" w:hint="eastAsia"/>
                <w:szCs w:val="22"/>
              </w:rPr>
              <w:t>年</w:t>
            </w:r>
          </w:p>
        </w:tc>
        <w:tc>
          <w:tcPr>
            <w:tcW w:w="1843" w:type="dxa"/>
            <w:tcBorders>
              <w:top w:val="single" w:sz="4" w:space="0" w:color="auto"/>
              <w:left w:val="single" w:sz="4" w:space="0" w:color="auto"/>
              <w:bottom w:val="single" w:sz="4" w:space="0" w:color="auto"/>
              <w:right w:val="single" w:sz="4" w:space="0" w:color="auto"/>
            </w:tcBorders>
            <w:vAlign w:val="center"/>
            <w:hideMark/>
          </w:tcPr>
          <w:p w:rsidR="002B17A7" w:rsidRDefault="002B17A7">
            <w:pPr>
              <w:jc w:val="center"/>
              <w:rPr>
                <w:rFonts w:eastAsiaTheme="minorEastAsia"/>
                <w:szCs w:val="22"/>
              </w:rPr>
            </w:pPr>
            <w:r>
              <w:rPr>
                <w:szCs w:val="22"/>
              </w:rPr>
              <w:t>2016</w:t>
            </w:r>
            <w:r>
              <w:rPr>
                <w:rFonts w:ascii="細明體" w:eastAsia="細明體" w:hAnsi="細明體" w:cs="細明體" w:hint="eastAsia"/>
                <w:szCs w:val="22"/>
              </w:rPr>
              <w:t>年</w:t>
            </w:r>
          </w:p>
        </w:tc>
      </w:tr>
      <w:tr w:rsidR="002B17A7" w:rsidTr="002B17A7">
        <w:trPr>
          <w:trHeight w:val="350"/>
          <w:jc w:val="center"/>
        </w:trPr>
        <w:tc>
          <w:tcPr>
            <w:tcW w:w="2154" w:type="dxa"/>
            <w:tcBorders>
              <w:top w:val="single" w:sz="4" w:space="0" w:color="auto"/>
              <w:left w:val="single" w:sz="4" w:space="0" w:color="auto"/>
              <w:bottom w:val="single" w:sz="4" w:space="0" w:color="auto"/>
              <w:right w:val="single" w:sz="4" w:space="0" w:color="auto"/>
            </w:tcBorders>
            <w:vAlign w:val="center"/>
            <w:hideMark/>
          </w:tcPr>
          <w:p w:rsidR="002B17A7" w:rsidRDefault="002B17A7">
            <w:pPr>
              <w:jc w:val="center"/>
              <w:rPr>
                <w:rFonts w:eastAsiaTheme="minorEastAsia"/>
                <w:szCs w:val="22"/>
              </w:rPr>
            </w:pPr>
            <w:r>
              <w:rPr>
                <w:rFonts w:ascii="新細明體" w:eastAsia="新細明體" w:hAnsi="新細明體" w:cs="新細明體" w:hint="eastAsia"/>
                <w:szCs w:val="22"/>
              </w:rPr>
              <w:t>未滿</w:t>
            </w:r>
            <w:r>
              <w:rPr>
                <w:szCs w:val="22"/>
              </w:rPr>
              <w:t>25</w:t>
            </w:r>
            <w:r>
              <w:rPr>
                <w:rFonts w:ascii="細明體" w:eastAsia="細明體" w:hAnsi="細明體" w:cs="細明體" w:hint="eastAsia"/>
                <w:szCs w:val="22"/>
              </w:rPr>
              <w:t>歲</w:t>
            </w:r>
          </w:p>
        </w:tc>
        <w:tc>
          <w:tcPr>
            <w:tcW w:w="1843" w:type="dxa"/>
            <w:tcBorders>
              <w:top w:val="single" w:sz="4" w:space="0" w:color="auto"/>
              <w:left w:val="single" w:sz="4" w:space="0" w:color="auto"/>
              <w:bottom w:val="single" w:sz="4" w:space="0" w:color="auto"/>
              <w:right w:val="single" w:sz="4" w:space="0" w:color="auto"/>
            </w:tcBorders>
            <w:vAlign w:val="center"/>
            <w:hideMark/>
          </w:tcPr>
          <w:p w:rsidR="002B17A7" w:rsidRDefault="002B17A7">
            <w:pPr>
              <w:jc w:val="center"/>
              <w:rPr>
                <w:rFonts w:eastAsiaTheme="minorEastAsia"/>
                <w:szCs w:val="22"/>
              </w:rPr>
            </w:pPr>
            <w:r>
              <w:rPr>
                <w:szCs w:val="22"/>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2B17A7" w:rsidRDefault="002B17A7">
            <w:pPr>
              <w:jc w:val="center"/>
              <w:rPr>
                <w:rFonts w:eastAsiaTheme="minorEastAsia"/>
                <w:szCs w:val="22"/>
              </w:rPr>
            </w:pPr>
            <w:r>
              <w:rPr>
                <w:szCs w:val="22"/>
              </w:rPr>
              <w:t>1</w:t>
            </w:r>
          </w:p>
        </w:tc>
      </w:tr>
      <w:tr w:rsidR="002B17A7" w:rsidTr="002B17A7">
        <w:trPr>
          <w:trHeight w:val="470"/>
          <w:jc w:val="center"/>
        </w:trPr>
        <w:tc>
          <w:tcPr>
            <w:tcW w:w="2154" w:type="dxa"/>
            <w:tcBorders>
              <w:top w:val="single" w:sz="4" w:space="0" w:color="auto"/>
              <w:left w:val="single" w:sz="4" w:space="0" w:color="auto"/>
              <w:bottom w:val="single" w:sz="4" w:space="0" w:color="auto"/>
              <w:right w:val="single" w:sz="4" w:space="0" w:color="auto"/>
            </w:tcBorders>
            <w:vAlign w:val="center"/>
            <w:hideMark/>
          </w:tcPr>
          <w:p w:rsidR="002B17A7" w:rsidRDefault="002B17A7">
            <w:pPr>
              <w:jc w:val="center"/>
              <w:rPr>
                <w:rFonts w:eastAsiaTheme="minorEastAsia"/>
                <w:szCs w:val="22"/>
              </w:rPr>
            </w:pPr>
            <w:r>
              <w:rPr>
                <w:szCs w:val="22"/>
              </w:rPr>
              <w:t>25</w:t>
            </w:r>
            <w:r>
              <w:rPr>
                <w:rFonts w:ascii="新細明體" w:eastAsia="新細明體" w:hAnsi="新細明體" w:cs="新細明體" w:hint="eastAsia"/>
                <w:szCs w:val="22"/>
              </w:rPr>
              <w:t>歲至未滿</w:t>
            </w:r>
            <w:r>
              <w:rPr>
                <w:szCs w:val="22"/>
              </w:rPr>
              <w:t>30</w:t>
            </w:r>
            <w:r>
              <w:rPr>
                <w:rFonts w:ascii="細明體" w:eastAsia="細明體" w:hAnsi="細明體" w:cs="細明體" w:hint="eastAsia"/>
                <w:szCs w:val="22"/>
              </w:rPr>
              <w:t>歲</w:t>
            </w:r>
          </w:p>
        </w:tc>
        <w:tc>
          <w:tcPr>
            <w:tcW w:w="1843" w:type="dxa"/>
            <w:tcBorders>
              <w:top w:val="single" w:sz="4" w:space="0" w:color="auto"/>
              <w:left w:val="single" w:sz="4" w:space="0" w:color="auto"/>
              <w:bottom w:val="single" w:sz="4" w:space="0" w:color="auto"/>
              <w:right w:val="single" w:sz="4" w:space="0" w:color="auto"/>
            </w:tcBorders>
            <w:vAlign w:val="center"/>
            <w:hideMark/>
          </w:tcPr>
          <w:p w:rsidR="002B17A7" w:rsidRDefault="002B17A7">
            <w:pPr>
              <w:jc w:val="center"/>
              <w:rPr>
                <w:rFonts w:eastAsiaTheme="minorEastAsia"/>
                <w:szCs w:val="22"/>
              </w:rPr>
            </w:pPr>
            <w:r>
              <w:rPr>
                <w:szCs w:val="22"/>
              </w:rPr>
              <w:t>219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2B17A7" w:rsidRDefault="002B17A7">
            <w:pPr>
              <w:jc w:val="center"/>
              <w:rPr>
                <w:rFonts w:eastAsiaTheme="minorEastAsia"/>
                <w:szCs w:val="22"/>
              </w:rPr>
            </w:pPr>
            <w:r>
              <w:rPr>
                <w:szCs w:val="22"/>
              </w:rPr>
              <w:t>66</w:t>
            </w:r>
          </w:p>
        </w:tc>
      </w:tr>
      <w:tr w:rsidR="002B17A7" w:rsidTr="002B17A7">
        <w:trPr>
          <w:trHeight w:val="470"/>
          <w:jc w:val="center"/>
        </w:trPr>
        <w:tc>
          <w:tcPr>
            <w:tcW w:w="2154" w:type="dxa"/>
            <w:tcBorders>
              <w:top w:val="single" w:sz="4" w:space="0" w:color="auto"/>
              <w:left w:val="single" w:sz="4" w:space="0" w:color="auto"/>
              <w:bottom w:val="single" w:sz="4" w:space="0" w:color="auto"/>
              <w:right w:val="single" w:sz="4" w:space="0" w:color="auto"/>
            </w:tcBorders>
            <w:vAlign w:val="center"/>
            <w:hideMark/>
          </w:tcPr>
          <w:p w:rsidR="002B17A7" w:rsidRDefault="002B17A7">
            <w:pPr>
              <w:jc w:val="center"/>
              <w:rPr>
                <w:rFonts w:eastAsiaTheme="minorEastAsia"/>
                <w:szCs w:val="22"/>
              </w:rPr>
            </w:pPr>
            <w:r>
              <w:rPr>
                <w:szCs w:val="22"/>
              </w:rPr>
              <w:t>30</w:t>
            </w:r>
            <w:r>
              <w:rPr>
                <w:rFonts w:ascii="新細明體" w:eastAsia="新細明體" w:hAnsi="新細明體" w:cs="新細明體" w:hint="eastAsia"/>
                <w:szCs w:val="22"/>
              </w:rPr>
              <w:t>歲至未滿</w:t>
            </w:r>
            <w:r>
              <w:rPr>
                <w:szCs w:val="22"/>
              </w:rPr>
              <w:t>35</w:t>
            </w:r>
            <w:r>
              <w:rPr>
                <w:rFonts w:ascii="細明體" w:eastAsia="細明體" w:hAnsi="細明體" w:cs="細明體" w:hint="eastAsia"/>
                <w:szCs w:val="22"/>
              </w:rPr>
              <w:t>歲</w:t>
            </w:r>
          </w:p>
        </w:tc>
        <w:tc>
          <w:tcPr>
            <w:tcW w:w="1843" w:type="dxa"/>
            <w:tcBorders>
              <w:top w:val="single" w:sz="4" w:space="0" w:color="auto"/>
              <w:left w:val="single" w:sz="4" w:space="0" w:color="auto"/>
              <w:bottom w:val="single" w:sz="4" w:space="0" w:color="auto"/>
              <w:right w:val="single" w:sz="4" w:space="0" w:color="auto"/>
            </w:tcBorders>
            <w:vAlign w:val="center"/>
            <w:hideMark/>
          </w:tcPr>
          <w:p w:rsidR="002B17A7" w:rsidRDefault="002B17A7">
            <w:pPr>
              <w:jc w:val="center"/>
              <w:rPr>
                <w:rFonts w:eastAsiaTheme="minorEastAsia"/>
                <w:szCs w:val="22"/>
              </w:rPr>
            </w:pPr>
            <w:r>
              <w:rPr>
                <w:szCs w:val="22"/>
              </w:rPr>
              <w:t>1836</w:t>
            </w:r>
          </w:p>
        </w:tc>
        <w:tc>
          <w:tcPr>
            <w:tcW w:w="1843" w:type="dxa"/>
            <w:tcBorders>
              <w:top w:val="single" w:sz="4" w:space="0" w:color="auto"/>
              <w:left w:val="single" w:sz="4" w:space="0" w:color="auto"/>
              <w:bottom w:val="single" w:sz="4" w:space="0" w:color="auto"/>
              <w:right w:val="single" w:sz="4" w:space="0" w:color="auto"/>
            </w:tcBorders>
            <w:vAlign w:val="center"/>
            <w:hideMark/>
          </w:tcPr>
          <w:p w:rsidR="002B17A7" w:rsidRDefault="002B17A7">
            <w:pPr>
              <w:jc w:val="center"/>
              <w:rPr>
                <w:rFonts w:eastAsiaTheme="minorEastAsia"/>
                <w:szCs w:val="22"/>
              </w:rPr>
            </w:pPr>
            <w:r>
              <w:rPr>
                <w:szCs w:val="22"/>
              </w:rPr>
              <w:t>766</w:t>
            </w:r>
          </w:p>
        </w:tc>
      </w:tr>
      <w:tr w:rsidR="002B17A7" w:rsidTr="002B17A7">
        <w:trPr>
          <w:trHeight w:val="470"/>
          <w:jc w:val="center"/>
        </w:trPr>
        <w:tc>
          <w:tcPr>
            <w:tcW w:w="2154" w:type="dxa"/>
            <w:tcBorders>
              <w:top w:val="single" w:sz="4" w:space="0" w:color="auto"/>
              <w:left w:val="single" w:sz="4" w:space="0" w:color="auto"/>
              <w:bottom w:val="single" w:sz="4" w:space="0" w:color="auto"/>
              <w:right w:val="single" w:sz="4" w:space="0" w:color="auto"/>
            </w:tcBorders>
            <w:vAlign w:val="center"/>
            <w:hideMark/>
          </w:tcPr>
          <w:p w:rsidR="002B17A7" w:rsidRDefault="002B17A7">
            <w:pPr>
              <w:jc w:val="center"/>
              <w:rPr>
                <w:rFonts w:eastAsiaTheme="minorEastAsia"/>
                <w:szCs w:val="22"/>
              </w:rPr>
            </w:pPr>
            <w:r>
              <w:rPr>
                <w:szCs w:val="22"/>
              </w:rPr>
              <w:t>35</w:t>
            </w:r>
            <w:r>
              <w:rPr>
                <w:rFonts w:ascii="新細明體" w:eastAsia="新細明體" w:hAnsi="新細明體" w:cs="新細明體" w:hint="eastAsia"/>
                <w:szCs w:val="22"/>
              </w:rPr>
              <w:t>歲至未滿</w:t>
            </w:r>
            <w:r>
              <w:rPr>
                <w:szCs w:val="22"/>
              </w:rPr>
              <w:t>40</w:t>
            </w:r>
            <w:r>
              <w:rPr>
                <w:rFonts w:ascii="細明體" w:eastAsia="細明體" w:hAnsi="細明體" w:cs="細明體" w:hint="eastAsia"/>
                <w:szCs w:val="22"/>
              </w:rPr>
              <w:t>歲</w:t>
            </w:r>
          </w:p>
        </w:tc>
        <w:tc>
          <w:tcPr>
            <w:tcW w:w="1843" w:type="dxa"/>
            <w:tcBorders>
              <w:top w:val="single" w:sz="4" w:space="0" w:color="auto"/>
              <w:left w:val="single" w:sz="4" w:space="0" w:color="auto"/>
              <w:bottom w:val="single" w:sz="4" w:space="0" w:color="auto"/>
              <w:right w:val="single" w:sz="4" w:space="0" w:color="auto"/>
            </w:tcBorders>
            <w:vAlign w:val="center"/>
            <w:hideMark/>
          </w:tcPr>
          <w:p w:rsidR="002B17A7" w:rsidRDefault="002B17A7">
            <w:pPr>
              <w:jc w:val="center"/>
              <w:rPr>
                <w:rFonts w:eastAsiaTheme="minorEastAsia"/>
                <w:szCs w:val="22"/>
              </w:rPr>
            </w:pPr>
            <w:r>
              <w:rPr>
                <w:szCs w:val="22"/>
              </w:rPr>
              <w:t>4537</w:t>
            </w:r>
          </w:p>
        </w:tc>
        <w:tc>
          <w:tcPr>
            <w:tcW w:w="1843" w:type="dxa"/>
            <w:tcBorders>
              <w:top w:val="single" w:sz="4" w:space="0" w:color="auto"/>
              <w:left w:val="single" w:sz="4" w:space="0" w:color="auto"/>
              <w:bottom w:val="single" w:sz="4" w:space="0" w:color="auto"/>
              <w:right w:val="single" w:sz="4" w:space="0" w:color="auto"/>
            </w:tcBorders>
            <w:vAlign w:val="center"/>
            <w:hideMark/>
          </w:tcPr>
          <w:p w:rsidR="002B17A7" w:rsidRDefault="002B17A7">
            <w:pPr>
              <w:jc w:val="center"/>
              <w:rPr>
                <w:rFonts w:eastAsiaTheme="minorEastAsia"/>
                <w:szCs w:val="22"/>
              </w:rPr>
            </w:pPr>
            <w:r>
              <w:rPr>
                <w:szCs w:val="22"/>
              </w:rPr>
              <w:t>2793</w:t>
            </w:r>
          </w:p>
        </w:tc>
      </w:tr>
      <w:tr w:rsidR="002B17A7" w:rsidTr="002B17A7">
        <w:trPr>
          <w:trHeight w:val="470"/>
          <w:jc w:val="center"/>
        </w:trPr>
        <w:tc>
          <w:tcPr>
            <w:tcW w:w="2154" w:type="dxa"/>
            <w:tcBorders>
              <w:top w:val="single" w:sz="4" w:space="0" w:color="auto"/>
              <w:left w:val="single" w:sz="4" w:space="0" w:color="auto"/>
              <w:bottom w:val="single" w:sz="4" w:space="0" w:color="auto"/>
              <w:right w:val="single" w:sz="4" w:space="0" w:color="auto"/>
            </w:tcBorders>
            <w:vAlign w:val="center"/>
            <w:hideMark/>
          </w:tcPr>
          <w:p w:rsidR="002B17A7" w:rsidRDefault="002B17A7">
            <w:pPr>
              <w:jc w:val="center"/>
              <w:rPr>
                <w:rFonts w:eastAsiaTheme="minorEastAsia"/>
                <w:szCs w:val="22"/>
              </w:rPr>
            </w:pPr>
            <w:r>
              <w:rPr>
                <w:szCs w:val="22"/>
              </w:rPr>
              <w:t>40</w:t>
            </w:r>
            <w:r>
              <w:rPr>
                <w:rFonts w:ascii="新細明體" w:eastAsia="新細明體" w:hAnsi="新細明體" w:cs="新細明體" w:hint="eastAsia"/>
                <w:szCs w:val="22"/>
              </w:rPr>
              <w:t>歲至未滿</w:t>
            </w:r>
            <w:r>
              <w:rPr>
                <w:szCs w:val="22"/>
              </w:rPr>
              <w:t>45</w:t>
            </w:r>
            <w:r>
              <w:rPr>
                <w:rFonts w:ascii="細明體" w:eastAsia="細明體" w:hAnsi="細明體" w:cs="細明體" w:hint="eastAsia"/>
                <w:szCs w:val="22"/>
              </w:rPr>
              <w:t>歲</w:t>
            </w:r>
          </w:p>
        </w:tc>
        <w:tc>
          <w:tcPr>
            <w:tcW w:w="1843" w:type="dxa"/>
            <w:tcBorders>
              <w:top w:val="single" w:sz="4" w:space="0" w:color="auto"/>
              <w:left w:val="single" w:sz="4" w:space="0" w:color="auto"/>
              <w:bottom w:val="single" w:sz="4" w:space="0" w:color="auto"/>
              <w:right w:val="single" w:sz="4" w:space="0" w:color="auto"/>
            </w:tcBorders>
            <w:vAlign w:val="center"/>
            <w:hideMark/>
          </w:tcPr>
          <w:p w:rsidR="002B17A7" w:rsidRDefault="002B17A7">
            <w:pPr>
              <w:jc w:val="center"/>
              <w:rPr>
                <w:rFonts w:eastAsiaTheme="minorEastAsia"/>
                <w:szCs w:val="22"/>
              </w:rPr>
            </w:pPr>
            <w:r>
              <w:rPr>
                <w:szCs w:val="22"/>
              </w:rPr>
              <w:t>7200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2B17A7" w:rsidRDefault="002B17A7">
            <w:pPr>
              <w:jc w:val="center"/>
              <w:rPr>
                <w:rFonts w:eastAsiaTheme="minorEastAsia"/>
                <w:szCs w:val="22"/>
              </w:rPr>
            </w:pPr>
            <w:r>
              <w:rPr>
                <w:szCs w:val="22"/>
              </w:rPr>
              <w:t>4605</w:t>
            </w:r>
          </w:p>
        </w:tc>
      </w:tr>
      <w:tr w:rsidR="002B17A7" w:rsidTr="002B17A7">
        <w:trPr>
          <w:trHeight w:val="470"/>
          <w:jc w:val="center"/>
        </w:trPr>
        <w:tc>
          <w:tcPr>
            <w:tcW w:w="2154" w:type="dxa"/>
            <w:tcBorders>
              <w:top w:val="single" w:sz="4" w:space="0" w:color="auto"/>
              <w:left w:val="single" w:sz="4" w:space="0" w:color="auto"/>
              <w:bottom w:val="single" w:sz="4" w:space="0" w:color="auto"/>
              <w:right w:val="single" w:sz="4" w:space="0" w:color="auto"/>
            </w:tcBorders>
            <w:vAlign w:val="center"/>
            <w:hideMark/>
          </w:tcPr>
          <w:p w:rsidR="002B17A7" w:rsidRDefault="002B17A7">
            <w:pPr>
              <w:jc w:val="center"/>
              <w:rPr>
                <w:rFonts w:eastAsiaTheme="minorEastAsia"/>
                <w:szCs w:val="22"/>
              </w:rPr>
            </w:pPr>
            <w:r>
              <w:rPr>
                <w:szCs w:val="22"/>
              </w:rPr>
              <w:t>45</w:t>
            </w:r>
            <w:r>
              <w:rPr>
                <w:rFonts w:ascii="新細明體" w:eastAsia="新細明體" w:hAnsi="新細明體" w:cs="新細明體" w:hint="eastAsia"/>
                <w:szCs w:val="22"/>
              </w:rPr>
              <w:t>歲至未滿</w:t>
            </w:r>
            <w:r>
              <w:rPr>
                <w:szCs w:val="22"/>
              </w:rPr>
              <w:t>50</w:t>
            </w:r>
            <w:r>
              <w:rPr>
                <w:rFonts w:ascii="細明體" w:eastAsia="細明體" w:hAnsi="細明體" w:cs="細明體" w:hint="eastAsia"/>
                <w:szCs w:val="22"/>
              </w:rPr>
              <w:t>歲</w:t>
            </w:r>
          </w:p>
        </w:tc>
        <w:tc>
          <w:tcPr>
            <w:tcW w:w="1843" w:type="dxa"/>
            <w:tcBorders>
              <w:top w:val="single" w:sz="4" w:space="0" w:color="auto"/>
              <w:left w:val="single" w:sz="4" w:space="0" w:color="auto"/>
              <w:bottom w:val="single" w:sz="4" w:space="0" w:color="auto"/>
              <w:right w:val="single" w:sz="4" w:space="0" w:color="auto"/>
            </w:tcBorders>
            <w:vAlign w:val="center"/>
            <w:hideMark/>
          </w:tcPr>
          <w:p w:rsidR="002B17A7" w:rsidRDefault="002B17A7">
            <w:pPr>
              <w:jc w:val="center"/>
              <w:rPr>
                <w:rFonts w:eastAsiaTheme="minorEastAsia"/>
                <w:szCs w:val="22"/>
              </w:rPr>
            </w:pPr>
            <w:r>
              <w:rPr>
                <w:szCs w:val="22"/>
              </w:rPr>
              <w:t>7253</w:t>
            </w:r>
          </w:p>
        </w:tc>
        <w:tc>
          <w:tcPr>
            <w:tcW w:w="1843" w:type="dxa"/>
            <w:tcBorders>
              <w:top w:val="single" w:sz="4" w:space="0" w:color="auto"/>
              <w:left w:val="single" w:sz="4" w:space="0" w:color="auto"/>
              <w:bottom w:val="single" w:sz="4" w:space="0" w:color="auto"/>
              <w:right w:val="single" w:sz="4" w:space="0" w:color="auto"/>
            </w:tcBorders>
            <w:vAlign w:val="center"/>
            <w:hideMark/>
          </w:tcPr>
          <w:p w:rsidR="002B17A7" w:rsidRDefault="002B17A7">
            <w:pPr>
              <w:jc w:val="center"/>
              <w:rPr>
                <w:rFonts w:eastAsiaTheme="minorEastAsia"/>
                <w:szCs w:val="22"/>
              </w:rPr>
            </w:pPr>
            <w:r>
              <w:rPr>
                <w:szCs w:val="22"/>
              </w:rPr>
              <w:t>6454</w:t>
            </w:r>
          </w:p>
        </w:tc>
      </w:tr>
      <w:tr w:rsidR="002B17A7" w:rsidTr="002B17A7">
        <w:trPr>
          <w:trHeight w:val="470"/>
          <w:jc w:val="center"/>
        </w:trPr>
        <w:tc>
          <w:tcPr>
            <w:tcW w:w="2154" w:type="dxa"/>
            <w:tcBorders>
              <w:top w:val="single" w:sz="4" w:space="0" w:color="auto"/>
              <w:left w:val="single" w:sz="4" w:space="0" w:color="auto"/>
              <w:bottom w:val="single" w:sz="4" w:space="0" w:color="auto"/>
              <w:right w:val="single" w:sz="4" w:space="0" w:color="auto"/>
            </w:tcBorders>
            <w:vAlign w:val="center"/>
            <w:hideMark/>
          </w:tcPr>
          <w:p w:rsidR="002B17A7" w:rsidRDefault="002B17A7">
            <w:pPr>
              <w:jc w:val="center"/>
              <w:rPr>
                <w:rFonts w:eastAsiaTheme="minorEastAsia"/>
                <w:szCs w:val="22"/>
              </w:rPr>
            </w:pPr>
            <w:r>
              <w:rPr>
                <w:szCs w:val="22"/>
              </w:rPr>
              <w:t>50</w:t>
            </w:r>
            <w:r>
              <w:rPr>
                <w:rFonts w:ascii="新細明體" w:eastAsia="新細明體" w:hAnsi="新細明體" w:cs="新細明體" w:hint="eastAsia"/>
                <w:szCs w:val="22"/>
              </w:rPr>
              <w:t>歲至未滿</w:t>
            </w:r>
            <w:r>
              <w:rPr>
                <w:szCs w:val="22"/>
              </w:rPr>
              <w:t>55</w:t>
            </w:r>
            <w:r>
              <w:rPr>
                <w:rFonts w:ascii="細明體" w:eastAsia="細明體" w:hAnsi="細明體" w:cs="細明體" w:hint="eastAsia"/>
                <w:szCs w:val="22"/>
              </w:rPr>
              <w:t>歲</w:t>
            </w:r>
          </w:p>
        </w:tc>
        <w:tc>
          <w:tcPr>
            <w:tcW w:w="1843" w:type="dxa"/>
            <w:tcBorders>
              <w:top w:val="single" w:sz="4" w:space="0" w:color="auto"/>
              <w:left w:val="single" w:sz="4" w:space="0" w:color="auto"/>
              <w:bottom w:val="single" w:sz="4" w:space="0" w:color="auto"/>
              <w:right w:val="single" w:sz="4" w:space="0" w:color="auto"/>
            </w:tcBorders>
            <w:vAlign w:val="center"/>
            <w:hideMark/>
          </w:tcPr>
          <w:p w:rsidR="002B17A7" w:rsidRDefault="002B17A7">
            <w:pPr>
              <w:jc w:val="center"/>
              <w:rPr>
                <w:rFonts w:eastAsiaTheme="minorEastAsia"/>
                <w:szCs w:val="22"/>
              </w:rPr>
            </w:pPr>
            <w:r>
              <w:rPr>
                <w:szCs w:val="22"/>
              </w:rPr>
              <w:t>5184</w:t>
            </w:r>
          </w:p>
        </w:tc>
        <w:tc>
          <w:tcPr>
            <w:tcW w:w="1843" w:type="dxa"/>
            <w:tcBorders>
              <w:top w:val="single" w:sz="4" w:space="0" w:color="auto"/>
              <w:left w:val="single" w:sz="4" w:space="0" w:color="auto"/>
              <w:bottom w:val="single" w:sz="4" w:space="0" w:color="auto"/>
              <w:right w:val="single" w:sz="4" w:space="0" w:color="auto"/>
            </w:tcBorders>
            <w:vAlign w:val="center"/>
            <w:hideMark/>
          </w:tcPr>
          <w:p w:rsidR="002B17A7" w:rsidRDefault="002B17A7">
            <w:pPr>
              <w:jc w:val="center"/>
              <w:rPr>
                <w:rFonts w:eastAsiaTheme="minorEastAsia"/>
                <w:szCs w:val="22"/>
              </w:rPr>
            </w:pPr>
            <w:r>
              <w:rPr>
                <w:szCs w:val="22"/>
              </w:rPr>
              <w:t>6537</w:t>
            </w:r>
          </w:p>
        </w:tc>
      </w:tr>
      <w:tr w:rsidR="002B17A7" w:rsidTr="002B17A7">
        <w:trPr>
          <w:trHeight w:val="470"/>
          <w:jc w:val="center"/>
        </w:trPr>
        <w:tc>
          <w:tcPr>
            <w:tcW w:w="2154" w:type="dxa"/>
            <w:tcBorders>
              <w:top w:val="single" w:sz="4" w:space="0" w:color="auto"/>
              <w:left w:val="single" w:sz="4" w:space="0" w:color="auto"/>
              <w:bottom w:val="single" w:sz="4" w:space="0" w:color="auto"/>
              <w:right w:val="single" w:sz="4" w:space="0" w:color="auto"/>
            </w:tcBorders>
            <w:vAlign w:val="center"/>
            <w:hideMark/>
          </w:tcPr>
          <w:p w:rsidR="002B17A7" w:rsidRDefault="002B17A7">
            <w:pPr>
              <w:jc w:val="center"/>
              <w:rPr>
                <w:rFonts w:eastAsiaTheme="minorEastAsia"/>
                <w:szCs w:val="22"/>
              </w:rPr>
            </w:pPr>
            <w:r>
              <w:rPr>
                <w:szCs w:val="22"/>
              </w:rPr>
              <w:t>55</w:t>
            </w:r>
            <w:r>
              <w:rPr>
                <w:rFonts w:ascii="新細明體" w:eastAsia="新細明體" w:hAnsi="新細明體" w:cs="新細明體" w:hint="eastAsia"/>
                <w:szCs w:val="22"/>
              </w:rPr>
              <w:t>歲至未滿</w:t>
            </w:r>
            <w:r>
              <w:rPr>
                <w:szCs w:val="22"/>
              </w:rPr>
              <w:t>60</w:t>
            </w:r>
            <w:r>
              <w:rPr>
                <w:rFonts w:ascii="細明體" w:eastAsia="細明體" w:hAnsi="細明體" w:cs="細明體" w:hint="eastAsia"/>
                <w:szCs w:val="22"/>
              </w:rPr>
              <w:t>歲</w:t>
            </w:r>
          </w:p>
        </w:tc>
        <w:tc>
          <w:tcPr>
            <w:tcW w:w="1843" w:type="dxa"/>
            <w:tcBorders>
              <w:top w:val="single" w:sz="4" w:space="0" w:color="auto"/>
              <w:left w:val="single" w:sz="4" w:space="0" w:color="auto"/>
              <w:bottom w:val="single" w:sz="4" w:space="0" w:color="auto"/>
              <w:right w:val="single" w:sz="4" w:space="0" w:color="auto"/>
            </w:tcBorders>
            <w:vAlign w:val="center"/>
            <w:hideMark/>
          </w:tcPr>
          <w:p w:rsidR="002B17A7" w:rsidRDefault="002B17A7">
            <w:pPr>
              <w:jc w:val="center"/>
              <w:rPr>
                <w:rFonts w:eastAsiaTheme="minorEastAsia"/>
                <w:szCs w:val="22"/>
              </w:rPr>
            </w:pPr>
            <w:r>
              <w:rPr>
                <w:szCs w:val="22"/>
              </w:rPr>
              <w:t>3299</w:t>
            </w:r>
          </w:p>
        </w:tc>
        <w:tc>
          <w:tcPr>
            <w:tcW w:w="1843" w:type="dxa"/>
            <w:tcBorders>
              <w:top w:val="single" w:sz="4" w:space="0" w:color="auto"/>
              <w:left w:val="single" w:sz="4" w:space="0" w:color="auto"/>
              <w:bottom w:val="single" w:sz="4" w:space="0" w:color="auto"/>
              <w:right w:val="single" w:sz="4" w:space="0" w:color="auto"/>
            </w:tcBorders>
            <w:vAlign w:val="center"/>
            <w:hideMark/>
          </w:tcPr>
          <w:p w:rsidR="002B17A7" w:rsidRDefault="002B17A7">
            <w:pPr>
              <w:jc w:val="center"/>
              <w:rPr>
                <w:rFonts w:eastAsiaTheme="minorEastAsia"/>
                <w:szCs w:val="22"/>
              </w:rPr>
            </w:pPr>
            <w:r>
              <w:rPr>
                <w:szCs w:val="22"/>
              </w:rPr>
              <w:t>4607</w:t>
            </w:r>
          </w:p>
        </w:tc>
      </w:tr>
      <w:tr w:rsidR="002B17A7" w:rsidTr="002B17A7">
        <w:trPr>
          <w:trHeight w:val="470"/>
          <w:jc w:val="center"/>
        </w:trPr>
        <w:tc>
          <w:tcPr>
            <w:tcW w:w="2154" w:type="dxa"/>
            <w:tcBorders>
              <w:top w:val="single" w:sz="4" w:space="0" w:color="auto"/>
              <w:left w:val="single" w:sz="4" w:space="0" w:color="auto"/>
              <w:bottom w:val="single" w:sz="4" w:space="0" w:color="auto"/>
              <w:right w:val="single" w:sz="4" w:space="0" w:color="auto"/>
            </w:tcBorders>
            <w:vAlign w:val="center"/>
            <w:hideMark/>
          </w:tcPr>
          <w:p w:rsidR="002B17A7" w:rsidRDefault="002B17A7">
            <w:pPr>
              <w:jc w:val="center"/>
              <w:rPr>
                <w:rFonts w:eastAsiaTheme="minorEastAsia"/>
                <w:szCs w:val="22"/>
              </w:rPr>
            </w:pPr>
            <w:r>
              <w:rPr>
                <w:szCs w:val="22"/>
              </w:rPr>
              <w:t>60</w:t>
            </w:r>
            <w:r>
              <w:rPr>
                <w:rFonts w:ascii="新細明體" w:eastAsia="新細明體" w:hAnsi="新細明體" w:cs="新細明體" w:hint="eastAsia"/>
                <w:szCs w:val="22"/>
              </w:rPr>
              <w:t>歲至未滿</w:t>
            </w:r>
            <w:r>
              <w:rPr>
                <w:szCs w:val="22"/>
              </w:rPr>
              <w:t>65</w:t>
            </w:r>
            <w:r>
              <w:rPr>
                <w:rFonts w:ascii="細明體" w:eastAsia="細明體" w:hAnsi="細明體" w:cs="細明體" w:hint="eastAsia"/>
                <w:szCs w:val="22"/>
              </w:rPr>
              <w:t>歲</w:t>
            </w:r>
          </w:p>
        </w:tc>
        <w:tc>
          <w:tcPr>
            <w:tcW w:w="1843" w:type="dxa"/>
            <w:tcBorders>
              <w:top w:val="single" w:sz="4" w:space="0" w:color="auto"/>
              <w:left w:val="single" w:sz="4" w:space="0" w:color="auto"/>
              <w:bottom w:val="single" w:sz="4" w:space="0" w:color="auto"/>
              <w:right w:val="single" w:sz="4" w:space="0" w:color="auto"/>
            </w:tcBorders>
            <w:vAlign w:val="center"/>
            <w:hideMark/>
          </w:tcPr>
          <w:p w:rsidR="002B17A7" w:rsidRDefault="002B17A7">
            <w:pPr>
              <w:jc w:val="center"/>
              <w:rPr>
                <w:rFonts w:eastAsiaTheme="minorEastAsia"/>
                <w:szCs w:val="22"/>
              </w:rPr>
            </w:pPr>
            <w:r>
              <w:rPr>
                <w:szCs w:val="22"/>
              </w:rPr>
              <w:t>1660</w:t>
            </w:r>
          </w:p>
        </w:tc>
        <w:tc>
          <w:tcPr>
            <w:tcW w:w="1843" w:type="dxa"/>
            <w:tcBorders>
              <w:top w:val="single" w:sz="4" w:space="0" w:color="auto"/>
              <w:left w:val="single" w:sz="4" w:space="0" w:color="auto"/>
              <w:bottom w:val="single" w:sz="4" w:space="0" w:color="auto"/>
              <w:right w:val="single" w:sz="4" w:space="0" w:color="auto"/>
            </w:tcBorders>
            <w:vAlign w:val="center"/>
            <w:hideMark/>
          </w:tcPr>
          <w:p w:rsidR="002B17A7" w:rsidRDefault="002B17A7">
            <w:pPr>
              <w:jc w:val="center"/>
              <w:rPr>
                <w:rFonts w:eastAsiaTheme="minorEastAsia"/>
                <w:szCs w:val="22"/>
              </w:rPr>
            </w:pPr>
            <w:r>
              <w:rPr>
                <w:szCs w:val="22"/>
              </w:rPr>
              <w:t>2734</w:t>
            </w:r>
          </w:p>
        </w:tc>
      </w:tr>
      <w:tr w:rsidR="002B17A7" w:rsidTr="002B17A7">
        <w:trPr>
          <w:trHeight w:val="350"/>
          <w:jc w:val="center"/>
        </w:trPr>
        <w:tc>
          <w:tcPr>
            <w:tcW w:w="2154" w:type="dxa"/>
            <w:tcBorders>
              <w:top w:val="single" w:sz="4" w:space="0" w:color="auto"/>
              <w:left w:val="single" w:sz="4" w:space="0" w:color="auto"/>
              <w:bottom w:val="single" w:sz="4" w:space="0" w:color="auto"/>
              <w:right w:val="single" w:sz="4" w:space="0" w:color="auto"/>
            </w:tcBorders>
            <w:vAlign w:val="center"/>
            <w:hideMark/>
          </w:tcPr>
          <w:p w:rsidR="002B17A7" w:rsidRDefault="002B17A7">
            <w:pPr>
              <w:jc w:val="center"/>
              <w:rPr>
                <w:rFonts w:eastAsiaTheme="minorEastAsia"/>
                <w:szCs w:val="22"/>
              </w:rPr>
            </w:pPr>
            <w:r>
              <w:rPr>
                <w:szCs w:val="22"/>
              </w:rPr>
              <w:t>65</w:t>
            </w:r>
            <w:r>
              <w:rPr>
                <w:rFonts w:ascii="新細明體" w:eastAsia="新細明體" w:hAnsi="新細明體" w:cs="新細明體" w:hint="eastAsia"/>
                <w:szCs w:val="22"/>
              </w:rPr>
              <w:t>歲以</w:t>
            </w:r>
            <w:r>
              <w:rPr>
                <w:rFonts w:ascii="細明體" w:eastAsia="細明體" w:hAnsi="細明體" w:cs="細明體" w:hint="eastAsia"/>
                <w:szCs w:val="22"/>
              </w:rPr>
              <w:t>上</w:t>
            </w:r>
          </w:p>
        </w:tc>
        <w:tc>
          <w:tcPr>
            <w:tcW w:w="1843" w:type="dxa"/>
            <w:tcBorders>
              <w:top w:val="single" w:sz="4" w:space="0" w:color="auto"/>
              <w:left w:val="single" w:sz="4" w:space="0" w:color="auto"/>
              <w:bottom w:val="single" w:sz="4" w:space="0" w:color="auto"/>
              <w:right w:val="single" w:sz="4" w:space="0" w:color="auto"/>
            </w:tcBorders>
            <w:vAlign w:val="center"/>
            <w:hideMark/>
          </w:tcPr>
          <w:p w:rsidR="002B17A7" w:rsidRDefault="002B17A7">
            <w:pPr>
              <w:jc w:val="center"/>
              <w:rPr>
                <w:rFonts w:eastAsiaTheme="minorEastAsia"/>
                <w:szCs w:val="22"/>
              </w:rPr>
            </w:pPr>
            <w:r>
              <w:rPr>
                <w:szCs w:val="22"/>
              </w:rPr>
              <w:t>417</w:t>
            </w:r>
          </w:p>
        </w:tc>
        <w:tc>
          <w:tcPr>
            <w:tcW w:w="1843" w:type="dxa"/>
            <w:tcBorders>
              <w:top w:val="single" w:sz="4" w:space="0" w:color="auto"/>
              <w:left w:val="single" w:sz="4" w:space="0" w:color="auto"/>
              <w:bottom w:val="single" w:sz="4" w:space="0" w:color="auto"/>
              <w:right w:val="single" w:sz="4" w:space="0" w:color="auto"/>
            </w:tcBorders>
            <w:vAlign w:val="center"/>
            <w:hideMark/>
          </w:tcPr>
          <w:p w:rsidR="002B17A7" w:rsidRDefault="002B17A7">
            <w:pPr>
              <w:jc w:val="center"/>
              <w:rPr>
                <w:rFonts w:eastAsiaTheme="minorEastAsia"/>
                <w:szCs w:val="22"/>
              </w:rPr>
            </w:pPr>
            <w:r>
              <w:rPr>
                <w:szCs w:val="22"/>
              </w:rPr>
              <w:t>434</w:t>
            </w:r>
          </w:p>
        </w:tc>
      </w:tr>
    </w:tbl>
    <w:p w:rsidR="002B17A7" w:rsidRDefault="002B17A7" w:rsidP="002B17A7">
      <w:pPr>
        <w:pStyle w:val="a3"/>
        <w:widowControl/>
        <w:numPr>
          <w:ilvl w:val="0"/>
          <w:numId w:val="5"/>
        </w:numPr>
        <w:spacing w:before="240"/>
        <w:ind w:leftChars="0"/>
        <w:rPr>
          <w:szCs w:val="22"/>
        </w:rPr>
      </w:pPr>
      <w:r>
        <w:rPr>
          <w:rFonts w:hint="eastAsia"/>
          <w:szCs w:val="22"/>
        </w:rPr>
        <w:t>令西元</w:t>
      </w:r>
      <m:oMath>
        <m:r>
          <m:rPr>
            <m:sty m:val="p"/>
          </m:rPr>
          <w:rPr>
            <w:rFonts w:ascii="Cambria Math" w:hAnsi="Cambria Math"/>
            <w:szCs w:val="22"/>
          </w:rPr>
          <m:t>i</m:t>
        </m:r>
      </m:oMath>
      <w:r>
        <w:rPr>
          <w:rFonts w:hint="eastAsia"/>
          <w:szCs w:val="22"/>
        </w:rPr>
        <w:t>年，</w:t>
      </w:r>
      <m:oMath>
        <m:r>
          <m:rPr>
            <m:sty m:val="p"/>
          </m:rPr>
          <w:rPr>
            <w:rFonts w:ascii="Cambria Math" w:hAnsi="Cambria Math"/>
            <w:szCs w:val="22"/>
          </w:rPr>
          <m:t>j</m:t>
        </m:r>
      </m:oMath>
      <w:r>
        <w:rPr>
          <w:rFonts w:hint="eastAsia"/>
          <w:szCs w:val="22"/>
        </w:rPr>
        <w:t>歲的私校教師人數為</w:t>
      </w:r>
      <m:oMath>
        <m:sSub>
          <m:sSubPr>
            <m:ctrlPr>
              <w:rPr>
                <w:rFonts w:ascii="Cambria Math" w:hAnsi="Cambria Math"/>
                <w:szCs w:val="22"/>
              </w:rPr>
            </m:ctrlPr>
          </m:sSubPr>
          <m:e>
            <m:r>
              <w:rPr>
                <w:rFonts w:ascii="Cambria Math" w:hAnsi="Cambria Math"/>
                <w:szCs w:val="22"/>
              </w:rPr>
              <m:t>P</m:t>
            </m:r>
          </m:e>
          <m:sub>
            <m:r>
              <w:rPr>
                <w:rFonts w:ascii="Cambria Math" w:hAnsi="Cambria Math"/>
                <w:szCs w:val="22"/>
              </w:rPr>
              <m:t>i</m:t>
            </m:r>
            <m:r>
              <m:rPr>
                <m:sty m:val="p"/>
              </m:rPr>
              <w:rPr>
                <w:rFonts w:ascii="Cambria Math" w:hAnsi="Cambria Math"/>
                <w:szCs w:val="22"/>
              </w:rPr>
              <m:t xml:space="preserve">,  </m:t>
            </m:r>
            <m:r>
              <w:rPr>
                <w:rFonts w:ascii="Cambria Math" w:hAnsi="Cambria Math"/>
                <w:szCs w:val="22"/>
              </w:rPr>
              <m:t>j</m:t>
            </m:r>
          </m:sub>
        </m:sSub>
      </m:oMath>
      <w:r>
        <w:rPr>
          <w:rFonts w:hint="eastAsia"/>
          <w:szCs w:val="22"/>
        </w:rPr>
        <w:t>。其中</w:t>
      </w:r>
      <m:oMath>
        <m:r>
          <m:rPr>
            <m:sty m:val="p"/>
          </m:rPr>
          <w:rPr>
            <w:rFonts w:ascii="Cambria Math" w:hAnsi="Cambria Math"/>
            <w:szCs w:val="22"/>
          </w:rPr>
          <m:t>35≤j≤62</m:t>
        </m:r>
      </m:oMath>
      <w:r>
        <w:rPr>
          <w:rFonts w:hint="eastAsia"/>
          <w:szCs w:val="22"/>
        </w:rPr>
        <w:t>，因為我們假設</w:t>
      </w:r>
      <w:proofErr w:type="gramStart"/>
      <w:r>
        <w:rPr>
          <w:rFonts w:hint="eastAsia"/>
          <w:szCs w:val="22"/>
        </w:rPr>
        <w:t>教師均為</w:t>
      </w:r>
      <w:r>
        <w:rPr>
          <w:szCs w:val="22"/>
        </w:rPr>
        <w:t>35</w:t>
      </w:r>
      <w:r>
        <w:rPr>
          <w:rFonts w:hint="eastAsia"/>
          <w:szCs w:val="22"/>
        </w:rPr>
        <w:t>歲</w:t>
      </w:r>
      <w:proofErr w:type="gramEnd"/>
      <w:r>
        <w:rPr>
          <w:rFonts w:hint="eastAsia"/>
          <w:szCs w:val="22"/>
        </w:rPr>
        <w:t>進入職場、</w:t>
      </w:r>
      <w:r>
        <w:rPr>
          <w:szCs w:val="22"/>
        </w:rPr>
        <w:t>62</w:t>
      </w:r>
      <w:r>
        <w:rPr>
          <w:rFonts w:hint="eastAsia"/>
          <w:szCs w:val="22"/>
        </w:rPr>
        <w:t>歲退休。</w:t>
      </w:r>
      <w:proofErr w:type="gramStart"/>
      <w:r>
        <w:rPr>
          <w:rFonts w:hint="eastAsia"/>
          <w:szCs w:val="22"/>
        </w:rPr>
        <w:t>此外，</w:t>
      </w:r>
      <w:proofErr w:type="gramEnd"/>
      <w:r>
        <w:rPr>
          <w:rFonts w:hint="eastAsia"/>
          <w:szCs w:val="22"/>
        </w:rPr>
        <w:t>低於</w:t>
      </w:r>
      <w:r>
        <w:rPr>
          <w:szCs w:val="22"/>
        </w:rPr>
        <w:t>35</w:t>
      </w:r>
      <w:r>
        <w:rPr>
          <w:rFonts w:hint="eastAsia"/>
          <w:szCs w:val="22"/>
        </w:rPr>
        <w:t>歲、高於</w:t>
      </w:r>
      <w:r>
        <w:rPr>
          <w:szCs w:val="22"/>
        </w:rPr>
        <w:t>62</w:t>
      </w:r>
      <w:r>
        <w:rPr>
          <w:rFonts w:hint="eastAsia"/>
          <w:szCs w:val="22"/>
        </w:rPr>
        <w:t>歲的人分別計入</w:t>
      </w:r>
      <m:oMath>
        <m:sSub>
          <m:sSubPr>
            <m:ctrlPr>
              <w:rPr>
                <w:rFonts w:ascii="Cambria Math" w:hAnsi="Cambria Math"/>
                <w:szCs w:val="22"/>
              </w:rPr>
            </m:ctrlPr>
          </m:sSubPr>
          <m:e>
            <m:r>
              <w:rPr>
                <w:rFonts w:ascii="Cambria Math" w:hAnsi="Cambria Math"/>
                <w:szCs w:val="22"/>
              </w:rPr>
              <m:t>P</m:t>
            </m:r>
          </m:e>
          <m:sub>
            <m:r>
              <w:rPr>
                <w:rFonts w:ascii="Cambria Math" w:hAnsi="Cambria Math"/>
                <w:szCs w:val="22"/>
              </w:rPr>
              <m:t>i</m:t>
            </m:r>
            <m:r>
              <m:rPr>
                <m:sty m:val="p"/>
              </m:rPr>
              <w:rPr>
                <w:rFonts w:ascii="Cambria Math" w:hAnsi="Cambria Math"/>
                <w:szCs w:val="22"/>
              </w:rPr>
              <m:t>,  35</m:t>
            </m:r>
          </m:sub>
        </m:sSub>
      </m:oMath>
      <w:r>
        <w:rPr>
          <w:rFonts w:hint="eastAsia"/>
          <w:szCs w:val="22"/>
        </w:rPr>
        <w:t>和</w:t>
      </w:r>
      <m:oMath>
        <m:sSub>
          <m:sSubPr>
            <m:ctrlPr>
              <w:rPr>
                <w:rFonts w:ascii="Cambria Math" w:hAnsi="Cambria Math"/>
                <w:szCs w:val="22"/>
              </w:rPr>
            </m:ctrlPr>
          </m:sSubPr>
          <m:e>
            <m:r>
              <w:rPr>
                <w:rFonts w:ascii="Cambria Math" w:hAnsi="Cambria Math"/>
                <w:szCs w:val="22"/>
              </w:rPr>
              <m:t>P</m:t>
            </m:r>
          </m:e>
          <m:sub>
            <m:r>
              <w:rPr>
                <w:rFonts w:ascii="Cambria Math" w:hAnsi="Cambria Math"/>
                <w:szCs w:val="22"/>
              </w:rPr>
              <m:t>i</m:t>
            </m:r>
            <m:r>
              <m:rPr>
                <m:sty m:val="p"/>
              </m:rPr>
              <w:rPr>
                <w:rFonts w:ascii="Cambria Math" w:hAnsi="Cambria Math"/>
                <w:szCs w:val="22"/>
              </w:rPr>
              <m:t>,  62</m:t>
            </m:r>
          </m:sub>
        </m:sSub>
      </m:oMath>
      <w:r>
        <w:rPr>
          <w:rFonts w:hint="eastAsia"/>
          <w:szCs w:val="22"/>
        </w:rPr>
        <w:t>，而</w:t>
      </w:r>
      <m:oMath>
        <m:sSub>
          <m:sSubPr>
            <m:ctrlPr>
              <w:rPr>
                <w:rFonts w:ascii="Cambria Math" w:hAnsi="Cambria Math"/>
                <w:szCs w:val="22"/>
              </w:rPr>
            </m:ctrlPr>
          </m:sSubPr>
          <m:e>
            <m:r>
              <w:rPr>
                <w:rFonts w:ascii="Cambria Math" w:hAnsi="Cambria Math"/>
                <w:szCs w:val="22"/>
              </w:rPr>
              <m:t>P</m:t>
            </m:r>
          </m:e>
          <m:sub>
            <m:r>
              <w:rPr>
                <w:rFonts w:ascii="Cambria Math" w:hAnsi="Cambria Math"/>
                <w:szCs w:val="22"/>
              </w:rPr>
              <m:t>i</m:t>
            </m:r>
            <m:r>
              <m:rPr>
                <m:sty m:val="p"/>
              </m:rPr>
              <w:rPr>
                <w:rFonts w:ascii="Cambria Math" w:hAnsi="Cambria Math"/>
                <w:szCs w:val="22"/>
              </w:rPr>
              <m:t>,  35</m:t>
            </m:r>
          </m:sub>
        </m:sSub>
      </m:oMath>
      <w:r>
        <w:rPr>
          <w:rFonts w:hint="eastAsia"/>
          <w:szCs w:val="22"/>
        </w:rPr>
        <w:t>和</w:t>
      </w:r>
      <m:oMath>
        <m:sSub>
          <m:sSubPr>
            <m:ctrlPr>
              <w:rPr>
                <w:rFonts w:ascii="Cambria Math" w:hAnsi="Cambria Math"/>
                <w:szCs w:val="22"/>
              </w:rPr>
            </m:ctrlPr>
          </m:sSubPr>
          <m:e>
            <m:r>
              <w:rPr>
                <w:rFonts w:ascii="Cambria Math" w:hAnsi="Cambria Math"/>
                <w:szCs w:val="22"/>
              </w:rPr>
              <m:t>P</m:t>
            </m:r>
          </m:e>
          <m:sub>
            <m:r>
              <w:rPr>
                <w:rFonts w:ascii="Cambria Math" w:hAnsi="Cambria Math"/>
                <w:szCs w:val="22"/>
              </w:rPr>
              <m:t>i</m:t>
            </m:r>
            <m:r>
              <m:rPr>
                <m:sty m:val="p"/>
              </m:rPr>
              <w:rPr>
                <w:rFonts w:ascii="Cambria Math" w:hAnsi="Cambria Math"/>
                <w:szCs w:val="22"/>
              </w:rPr>
              <m:t>,  62</m:t>
            </m:r>
          </m:sub>
        </m:sSub>
      </m:oMath>
      <w:r>
        <w:rPr>
          <w:rFonts w:hint="eastAsia"/>
          <w:szCs w:val="22"/>
        </w:rPr>
        <w:t>正代表了每年的新進與退休人數。</w:t>
      </w:r>
    </w:p>
    <w:p w:rsidR="002B17A7" w:rsidRDefault="002B17A7" w:rsidP="002B17A7">
      <w:pPr>
        <w:pStyle w:val="a3"/>
        <w:widowControl/>
        <w:numPr>
          <w:ilvl w:val="0"/>
          <w:numId w:val="5"/>
        </w:numPr>
        <w:ind w:leftChars="0"/>
        <w:rPr>
          <w:szCs w:val="22"/>
        </w:rPr>
      </w:pPr>
      <w:r>
        <w:rPr>
          <w:szCs w:val="22"/>
        </w:rPr>
        <w:t>2016</w:t>
      </w:r>
      <w:r>
        <w:rPr>
          <w:rFonts w:hint="eastAsia"/>
          <w:szCs w:val="22"/>
        </w:rPr>
        <w:t>年以後的新進人數，我們以未來每年私校教師總數與退休人數推算。令人口遞減速度為</w:t>
      </w:r>
      <m:oMath>
        <m:r>
          <m:rPr>
            <m:sty m:val="p"/>
          </m:rPr>
          <w:rPr>
            <w:rFonts w:ascii="Cambria Math" w:hAnsi="Cambria Math"/>
            <w:szCs w:val="22"/>
          </w:rPr>
          <m:t>r</m:t>
        </m:r>
      </m:oMath>
      <w:r>
        <w:rPr>
          <w:rFonts w:hint="eastAsia"/>
          <w:szCs w:val="22"/>
        </w:rPr>
        <w:t>，則每年新進人數應該補足前一年的退休人數以符合預測之私校教師總數，即</w:t>
      </w:r>
    </w:p>
    <w:p w:rsidR="002B17A7" w:rsidRDefault="00627B0F" w:rsidP="002B17A7">
      <m:oMathPara>
        <m:oMath>
          <m:sSub>
            <m:sSubPr>
              <m:ctrlPr>
                <w:rPr>
                  <w:rFonts w:ascii="Cambria Math" w:hAnsi="Cambria Math"/>
                </w:rPr>
              </m:ctrlPr>
            </m:sSubPr>
            <m:e>
              <m:r>
                <w:rPr>
                  <w:rFonts w:ascii="Cambria Math" w:hAnsi="Cambria Math"/>
                </w:rPr>
                <m:t>P</m:t>
              </m:r>
            </m:e>
            <m:sub>
              <m:r>
                <w:rPr>
                  <w:rFonts w:ascii="Cambria Math" w:hAnsi="Cambria Math"/>
                </w:rPr>
                <m:t>i</m:t>
              </m:r>
              <m:r>
                <m:rPr>
                  <m:sty m:val="p"/>
                </m:rPr>
                <w:rPr>
                  <w:rFonts w:ascii="Cambria Math" w:hAnsi="Cambria Math"/>
                </w:rPr>
                <m:t>,35</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w:rPr>
                  <w:rFonts w:ascii="Cambria Math" w:hAnsi="Cambria Math"/>
                </w:rPr>
                <m:t>i</m:t>
              </m:r>
              <m:r>
                <m:rPr>
                  <m:sty m:val="p"/>
                </m:rPr>
                <w:rPr>
                  <w:rFonts w:ascii="Cambria Math" w:hAnsi="Cambria Math"/>
                </w:rPr>
                <m:t>-1, 62</m:t>
              </m:r>
            </m:sub>
          </m:sSub>
          <m:r>
            <m:rPr>
              <m:sty m:val="p"/>
            </m:rPr>
            <w:rPr>
              <w:rFonts w:ascii="Cambria Math" w:hAnsi="Cambria Math"/>
            </w:rPr>
            <m:t>-r</m:t>
          </m:r>
          <m:nary>
            <m:naryPr>
              <m:chr m:val="∑"/>
              <m:limLoc m:val="undOvr"/>
              <m:ctrlPr>
                <w:rPr>
                  <w:rFonts w:ascii="Cambria Math" w:hAnsi="Cambria Math"/>
                </w:rPr>
              </m:ctrlPr>
            </m:naryPr>
            <m:sub>
              <m:r>
                <w:rPr>
                  <w:rFonts w:ascii="Cambria Math" w:hAnsi="Cambria Math"/>
                </w:rPr>
                <m:t>j</m:t>
              </m:r>
              <m:r>
                <m:rPr>
                  <m:sty m:val="p"/>
                </m:rPr>
                <w:rPr>
                  <w:rFonts w:ascii="Cambria Math" w:hAnsi="Cambria Math"/>
                </w:rPr>
                <m:t>=35</m:t>
              </m:r>
            </m:sub>
            <m:sup>
              <m:r>
                <m:rPr>
                  <m:sty m:val="p"/>
                </m:rPr>
                <w:rPr>
                  <w:rFonts w:ascii="Cambria Math" w:hAnsi="Cambria Math"/>
                </w:rPr>
                <m:t>62</m:t>
              </m:r>
            </m:sup>
            <m:e>
              <m:sSub>
                <m:sSubPr>
                  <m:ctrlPr>
                    <w:rPr>
                      <w:rFonts w:ascii="Cambria Math" w:hAnsi="Cambria Math"/>
                    </w:rPr>
                  </m:ctrlPr>
                </m:sSubPr>
                <m:e>
                  <m:r>
                    <w:rPr>
                      <w:rFonts w:ascii="Cambria Math" w:hAnsi="Cambria Math"/>
                    </w:rPr>
                    <m:t>P</m:t>
                  </m:r>
                </m:e>
                <m:sub>
                  <m:r>
                    <w:rPr>
                      <w:rFonts w:ascii="Cambria Math" w:hAnsi="Cambria Math"/>
                    </w:rPr>
                    <m:t>i</m:t>
                  </m:r>
                  <m:r>
                    <m:rPr>
                      <m:sty m:val="p"/>
                    </m:rPr>
                    <w:rPr>
                      <w:rFonts w:ascii="Cambria Math" w:hAnsi="Cambria Math"/>
                    </w:rPr>
                    <m:t>-1,</m:t>
                  </m:r>
                  <m:r>
                    <w:rPr>
                      <w:rFonts w:ascii="Cambria Math" w:hAnsi="Cambria Math"/>
                    </w:rPr>
                    <m:t>j</m:t>
                  </m:r>
                </m:sub>
              </m:sSub>
            </m:e>
          </m:nary>
        </m:oMath>
      </m:oMathPara>
    </w:p>
    <w:p w:rsidR="002B17A7" w:rsidRDefault="002B17A7" w:rsidP="002B17A7">
      <w:pPr>
        <w:pStyle w:val="a3"/>
        <w:widowControl/>
        <w:numPr>
          <w:ilvl w:val="0"/>
          <w:numId w:val="2"/>
        </w:numPr>
        <w:ind w:leftChars="0"/>
        <w:rPr>
          <w:szCs w:val="22"/>
        </w:rPr>
      </w:pPr>
      <w:r>
        <w:rPr>
          <w:rFonts w:hint="eastAsia"/>
          <w:szCs w:val="22"/>
        </w:rPr>
        <w:t>計算結果</w:t>
      </w:r>
    </w:p>
    <w:p w:rsidR="002B17A7" w:rsidRDefault="002B17A7" w:rsidP="002B17A7">
      <w:pPr>
        <w:pStyle w:val="a3"/>
        <w:widowControl/>
        <w:numPr>
          <w:ilvl w:val="0"/>
          <w:numId w:val="6"/>
        </w:numPr>
        <w:ind w:leftChars="0"/>
        <w:rPr>
          <w:szCs w:val="22"/>
        </w:rPr>
      </w:pPr>
      <w:r>
        <w:rPr>
          <w:rFonts w:hint="eastAsia"/>
          <w:szCs w:val="22"/>
        </w:rPr>
        <w:t>不同人口遞減速度下的財務狀況</w:t>
      </w:r>
    </w:p>
    <w:p w:rsidR="002B17A7" w:rsidRDefault="002B17A7" w:rsidP="002B17A7">
      <w:pPr>
        <w:pStyle w:val="a3"/>
        <w:ind w:leftChars="0" w:left="960"/>
        <w:rPr>
          <w:szCs w:val="22"/>
        </w:rPr>
      </w:pPr>
      <w:r>
        <w:rPr>
          <w:rFonts w:hint="eastAsia"/>
          <w:szCs w:val="22"/>
        </w:rPr>
        <w:t>根據</w:t>
      </w:r>
      <w:r>
        <w:rPr>
          <w:szCs w:val="22"/>
        </w:rPr>
        <w:t>0%</w:t>
      </w:r>
      <w:r>
        <w:rPr>
          <w:rFonts w:hint="eastAsia"/>
          <w:szCs w:val="22"/>
        </w:rPr>
        <w:t>、</w:t>
      </w:r>
      <w:r>
        <w:rPr>
          <w:szCs w:val="22"/>
        </w:rPr>
        <w:t>0.4%</w:t>
      </w:r>
      <w:r>
        <w:rPr>
          <w:rFonts w:hint="eastAsia"/>
          <w:szCs w:val="22"/>
        </w:rPr>
        <w:t>和</w:t>
      </w:r>
      <w:r>
        <w:rPr>
          <w:szCs w:val="22"/>
        </w:rPr>
        <w:t>1.43%</w:t>
      </w:r>
      <w:r>
        <w:rPr>
          <w:rFonts w:hint="eastAsia"/>
          <w:szCs w:val="22"/>
        </w:rPr>
        <w:t>三種人口遞減速度，推算多出的財務分別為：</w:t>
      </w:r>
    </w:p>
    <w:tbl>
      <w:tblPr>
        <w:tblStyle w:val="a4"/>
        <w:tblW w:w="9072" w:type="dxa"/>
        <w:tblInd w:w="-176" w:type="dxa"/>
        <w:tblLook w:val="04A0" w:firstRow="1" w:lastRow="0" w:firstColumn="1" w:lastColumn="0" w:noHBand="0" w:noVBand="1"/>
      </w:tblPr>
      <w:tblGrid>
        <w:gridCol w:w="2409"/>
        <w:gridCol w:w="2221"/>
        <w:gridCol w:w="2221"/>
        <w:gridCol w:w="2221"/>
      </w:tblGrid>
      <w:tr w:rsidR="002B17A7" w:rsidTr="002B17A7">
        <w:tc>
          <w:tcPr>
            <w:tcW w:w="2409" w:type="dxa"/>
            <w:tcBorders>
              <w:top w:val="single" w:sz="4" w:space="0" w:color="auto"/>
              <w:left w:val="single" w:sz="4" w:space="0" w:color="auto"/>
              <w:bottom w:val="single" w:sz="4" w:space="0" w:color="auto"/>
              <w:right w:val="single" w:sz="4" w:space="0" w:color="auto"/>
            </w:tcBorders>
            <w:hideMark/>
          </w:tcPr>
          <w:p w:rsidR="002B17A7" w:rsidRDefault="002B17A7">
            <w:pPr>
              <w:pStyle w:val="a3"/>
              <w:ind w:leftChars="0" w:left="0"/>
              <w:jc w:val="center"/>
              <w:rPr>
                <w:szCs w:val="22"/>
              </w:rPr>
            </w:pPr>
            <w:r>
              <w:rPr>
                <w:rFonts w:ascii="新細明體" w:eastAsia="新細明體" w:hAnsi="新細明體" w:cs="新細明體" w:hint="eastAsia"/>
                <w:szCs w:val="22"/>
              </w:rPr>
              <w:t>人口遞減速</w:t>
            </w:r>
            <w:r>
              <w:rPr>
                <w:rFonts w:ascii="細明體" w:eastAsia="細明體" w:hAnsi="細明體" w:cs="細明體" w:hint="eastAsia"/>
                <w:szCs w:val="22"/>
              </w:rPr>
              <w:t>度</w:t>
            </w:r>
          </w:p>
        </w:tc>
        <w:tc>
          <w:tcPr>
            <w:tcW w:w="2221" w:type="dxa"/>
            <w:tcBorders>
              <w:top w:val="single" w:sz="4" w:space="0" w:color="auto"/>
              <w:left w:val="single" w:sz="4" w:space="0" w:color="auto"/>
              <w:bottom w:val="single" w:sz="4" w:space="0" w:color="auto"/>
              <w:right w:val="single" w:sz="4" w:space="0" w:color="auto"/>
            </w:tcBorders>
            <w:vAlign w:val="center"/>
            <w:hideMark/>
          </w:tcPr>
          <w:p w:rsidR="002B17A7" w:rsidRDefault="002B17A7">
            <w:pPr>
              <w:pStyle w:val="a3"/>
              <w:ind w:leftChars="0" w:left="0"/>
              <w:jc w:val="center"/>
              <w:rPr>
                <w:szCs w:val="22"/>
              </w:rPr>
            </w:pPr>
            <w:r>
              <w:rPr>
                <w:szCs w:val="22"/>
              </w:rPr>
              <w:t>0%</w:t>
            </w:r>
          </w:p>
        </w:tc>
        <w:tc>
          <w:tcPr>
            <w:tcW w:w="2221" w:type="dxa"/>
            <w:tcBorders>
              <w:top w:val="single" w:sz="4" w:space="0" w:color="auto"/>
              <w:left w:val="single" w:sz="4" w:space="0" w:color="auto"/>
              <w:bottom w:val="single" w:sz="4" w:space="0" w:color="auto"/>
              <w:right w:val="single" w:sz="4" w:space="0" w:color="auto"/>
            </w:tcBorders>
            <w:vAlign w:val="center"/>
            <w:hideMark/>
          </w:tcPr>
          <w:p w:rsidR="002B17A7" w:rsidRDefault="002B17A7">
            <w:pPr>
              <w:pStyle w:val="a3"/>
              <w:ind w:leftChars="0" w:left="0"/>
              <w:jc w:val="center"/>
              <w:rPr>
                <w:szCs w:val="22"/>
              </w:rPr>
            </w:pPr>
            <w:r>
              <w:rPr>
                <w:szCs w:val="22"/>
              </w:rPr>
              <w:t>0.4%</w:t>
            </w:r>
          </w:p>
        </w:tc>
        <w:tc>
          <w:tcPr>
            <w:tcW w:w="2221" w:type="dxa"/>
            <w:tcBorders>
              <w:top w:val="single" w:sz="4" w:space="0" w:color="auto"/>
              <w:left w:val="single" w:sz="4" w:space="0" w:color="auto"/>
              <w:bottom w:val="single" w:sz="4" w:space="0" w:color="auto"/>
              <w:right w:val="single" w:sz="4" w:space="0" w:color="auto"/>
            </w:tcBorders>
            <w:vAlign w:val="center"/>
            <w:hideMark/>
          </w:tcPr>
          <w:p w:rsidR="002B17A7" w:rsidRDefault="002B17A7">
            <w:pPr>
              <w:pStyle w:val="a3"/>
              <w:ind w:leftChars="0" w:left="0"/>
              <w:jc w:val="center"/>
              <w:rPr>
                <w:szCs w:val="22"/>
              </w:rPr>
            </w:pPr>
            <w:r>
              <w:rPr>
                <w:szCs w:val="22"/>
              </w:rPr>
              <w:t>1.43%</w:t>
            </w:r>
          </w:p>
        </w:tc>
      </w:tr>
      <w:tr w:rsidR="002B17A7" w:rsidTr="002B17A7">
        <w:tc>
          <w:tcPr>
            <w:tcW w:w="2409" w:type="dxa"/>
            <w:tcBorders>
              <w:top w:val="single" w:sz="4" w:space="0" w:color="auto"/>
              <w:left w:val="single" w:sz="4" w:space="0" w:color="auto"/>
              <w:bottom w:val="single" w:sz="4" w:space="0" w:color="auto"/>
              <w:right w:val="single" w:sz="4" w:space="0" w:color="auto"/>
            </w:tcBorders>
            <w:hideMark/>
          </w:tcPr>
          <w:p w:rsidR="002B17A7" w:rsidRDefault="002B17A7">
            <w:pPr>
              <w:pStyle w:val="a3"/>
              <w:ind w:leftChars="0" w:left="0"/>
              <w:jc w:val="center"/>
              <w:rPr>
                <w:szCs w:val="22"/>
              </w:rPr>
            </w:pPr>
            <w:r>
              <w:rPr>
                <w:rFonts w:ascii="新細明體" w:eastAsia="新細明體" w:hAnsi="新細明體" w:cs="新細明體" w:hint="eastAsia"/>
                <w:szCs w:val="22"/>
              </w:rPr>
              <w:t>未來多出之財務負</w:t>
            </w:r>
            <w:r>
              <w:rPr>
                <w:rFonts w:ascii="細明體" w:eastAsia="細明體" w:hAnsi="細明體" w:cs="細明體" w:hint="eastAsia"/>
                <w:szCs w:val="22"/>
              </w:rPr>
              <w:t>擔</w:t>
            </w:r>
          </w:p>
        </w:tc>
        <w:tc>
          <w:tcPr>
            <w:tcW w:w="2221" w:type="dxa"/>
            <w:tcBorders>
              <w:top w:val="single" w:sz="4" w:space="0" w:color="auto"/>
              <w:left w:val="single" w:sz="4" w:space="0" w:color="auto"/>
              <w:bottom w:val="single" w:sz="4" w:space="0" w:color="auto"/>
              <w:right w:val="single" w:sz="4" w:space="0" w:color="auto"/>
            </w:tcBorders>
            <w:vAlign w:val="center"/>
            <w:hideMark/>
          </w:tcPr>
          <w:p w:rsidR="002B17A7" w:rsidRDefault="002B17A7">
            <w:pPr>
              <w:jc w:val="center"/>
              <w:rPr>
                <w:rFonts w:eastAsiaTheme="minorEastAsia"/>
                <w:szCs w:val="22"/>
              </w:rPr>
            </w:pPr>
            <w:r>
              <w:rPr>
                <w:szCs w:val="22"/>
              </w:rPr>
              <w:t>44,022,452,021</w:t>
            </w:r>
          </w:p>
        </w:tc>
        <w:tc>
          <w:tcPr>
            <w:tcW w:w="2221" w:type="dxa"/>
            <w:tcBorders>
              <w:top w:val="single" w:sz="4" w:space="0" w:color="auto"/>
              <w:left w:val="single" w:sz="4" w:space="0" w:color="auto"/>
              <w:bottom w:val="single" w:sz="4" w:space="0" w:color="auto"/>
              <w:right w:val="single" w:sz="4" w:space="0" w:color="auto"/>
            </w:tcBorders>
            <w:vAlign w:val="center"/>
            <w:hideMark/>
          </w:tcPr>
          <w:p w:rsidR="002B17A7" w:rsidRDefault="002B17A7">
            <w:pPr>
              <w:jc w:val="center"/>
              <w:rPr>
                <w:rFonts w:eastAsiaTheme="minorEastAsia"/>
                <w:szCs w:val="22"/>
              </w:rPr>
            </w:pPr>
            <w:r>
              <w:rPr>
                <w:szCs w:val="22"/>
              </w:rPr>
              <w:t>43,912,330,516</w:t>
            </w:r>
          </w:p>
        </w:tc>
        <w:tc>
          <w:tcPr>
            <w:tcW w:w="2221" w:type="dxa"/>
            <w:tcBorders>
              <w:top w:val="single" w:sz="4" w:space="0" w:color="auto"/>
              <w:left w:val="single" w:sz="4" w:space="0" w:color="auto"/>
              <w:bottom w:val="single" w:sz="4" w:space="0" w:color="auto"/>
              <w:right w:val="single" w:sz="4" w:space="0" w:color="auto"/>
            </w:tcBorders>
            <w:vAlign w:val="center"/>
            <w:hideMark/>
          </w:tcPr>
          <w:p w:rsidR="002B17A7" w:rsidRDefault="002B17A7">
            <w:pPr>
              <w:jc w:val="center"/>
              <w:rPr>
                <w:rFonts w:eastAsiaTheme="minorEastAsia"/>
                <w:szCs w:val="22"/>
              </w:rPr>
            </w:pPr>
            <w:r>
              <w:rPr>
                <w:szCs w:val="22"/>
              </w:rPr>
              <w:t>43,624,843,602</w:t>
            </w:r>
          </w:p>
        </w:tc>
      </w:tr>
      <w:tr w:rsidR="002B17A7" w:rsidTr="002B17A7">
        <w:trPr>
          <w:trHeight w:val="50"/>
        </w:trPr>
        <w:tc>
          <w:tcPr>
            <w:tcW w:w="2409" w:type="dxa"/>
            <w:tcBorders>
              <w:top w:val="single" w:sz="4" w:space="0" w:color="auto"/>
              <w:left w:val="single" w:sz="4" w:space="0" w:color="auto"/>
              <w:bottom w:val="single" w:sz="4" w:space="0" w:color="auto"/>
              <w:right w:val="single" w:sz="4" w:space="0" w:color="auto"/>
            </w:tcBorders>
            <w:hideMark/>
          </w:tcPr>
          <w:p w:rsidR="002B17A7" w:rsidRDefault="002B17A7">
            <w:pPr>
              <w:pStyle w:val="a3"/>
              <w:ind w:leftChars="0" w:left="0"/>
              <w:jc w:val="center"/>
              <w:rPr>
                <w:rFonts w:eastAsiaTheme="minorEastAsia"/>
                <w:szCs w:val="22"/>
              </w:rPr>
            </w:pPr>
            <w:r>
              <w:rPr>
                <w:rFonts w:ascii="新細明體" w:eastAsia="新細明體" w:hAnsi="新細明體" w:cs="新細明體" w:hint="eastAsia"/>
                <w:szCs w:val="22"/>
              </w:rPr>
              <w:t>平均每年多出</w:t>
            </w:r>
            <w:r>
              <w:rPr>
                <w:rFonts w:ascii="細明體" w:eastAsia="細明體" w:hAnsi="細明體" w:cs="細明體" w:hint="eastAsia"/>
                <w:szCs w:val="22"/>
              </w:rPr>
              <w:t>之</w:t>
            </w:r>
          </w:p>
          <w:p w:rsidR="002B17A7" w:rsidRDefault="002B17A7">
            <w:pPr>
              <w:pStyle w:val="a3"/>
              <w:ind w:leftChars="0" w:left="0"/>
              <w:jc w:val="center"/>
              <w:rPr>
                <w:szCs w:val="22"/>
              </w:rPr>
            </w:pPr>
            <w:r>
              <w:rPr>
                <w:rFonts w:ascii="新細明體" w:eastAsia="新細明體" w:hAnsi="新細明體" w:cs="新細明體" w:hint="eastAsia"/>
                <w:szCs w:val="22"/>
              </w:rPr>
              <w:t>財務負</w:t>
            </w:r>
            <w:r>
              <w:rPr>
                <w:rFonts w:ascii="細明體" w:eastAsia="細明體" w:hAnsi="細明體" w:cs="細明體" w:hint="eastAsia"/>
                <w:szCs w:val="22"/>
              </w:rPr>
              <w:t>擔</w:t>
            </w:r>
          </w:p>
        </w:tc>
        <w:tc>
          <w:tcPr>
            <w:tcW w:w="2221" w:type="dxa"/>
            <w:tcBorders>
              <w:top w:val="single" w:sz="4" w:space="0" w:color="auto"/>
              <w:left w:val="single" w:sz="4" w:space="0" w:color="auto"/>
              <w:bottom w:val="single" w:sz="4" w:space="0" w:color="auto"/>
              <w:right w:val="single" w:sz="4" w:space="0" w:color="auto"/>
            </w:tcBorders>
            <w:vAlign w:val="center"/>
            <w:hideMark/>
          </w:tcPr>
          <w:p w:rsidR="002B17A7" w:rsidRDefault="002B17A7">
            <w:pPr>
              <w:jc w:val="center"/>
              <w:rPr>
                <w:rFonts w:eastAsiaTheme="minorEastAsia"/>
                <w:szCs w:val="22"/>
              </w:rPr>
            </w:pPr>
            <w:r>
              <w:rPr>
                <w:szCs w:val="22"/>
              </w:rPr>
              <w:t>880,449,040</w:t>
            </w:r>
          </w:p>
        </w:tc>
        <w:tc>
          <w:tcPr>
            <w:tcW w:w="2221" w:type="dxa"/>
            <w:tcBorders>
              <w:top w:val="single" w:sz="4" w:space="0" w:color="auto"/>
              <w:left w:val="single" w:sz="4" w:space="0" w:color="auto"/>
              <w:bottom w:val="single" w:sz="4" w:space="0" w:color="auto"/>
              <w:right w:val="single" w:sz="4" w:space="0" w:color="auto"/>
            </w:tcBorders>
            <w:vAlign w:val="center"/>
            <w:hideMark/>
          </w:tcPr>
          <w:p w:rsidR="002B17A7" w:rsidRDefault="002B17A7">
            <w:pPr>
              <w:jc w:val="center"/>
              <w:rPr>
                <w:rFonts w:eastAsiaTheme="minorEastAsia"/>
                <w:szCs w:val="22"/>
              </w:rPr>
            </w:pPr>
            <w:r>
              <w:rPr>
                <w:szCs w:val="22"/>
              </w:rPr>
              <w:t>878,246,610</w:t>
            </w:r>
          </w:p>
        </w:tc>
        <w:tc>
          <w:tcPr>
            <w:tcW w:w="2221" w:type="dxa"/>
            <w:tcBorders>
              <w:top w:val="single" w:sz="4" w:space="0" w:color="auto"/>
              <w:left w:val="single" w:sz="4" w:space="0" w:color="auto"/>
              <w:bottom w:val="single" w:sz="4" w:space="0" w:color="auto"/>
              <w:right w:val="single" w:sz="4" w:space="0" w:color="auto"/>
            </w:tcBorders>
            <w:vAlign w:val="center"/>
            <w:hideMark/>
          </w:tcPr>
          <w:p w:rsidR="002B17A7" w:rsidRDefault="002B17A7">
            <w:pPr>
              <w:jc w:val="center"/>
              <w:rPr>
                <w:rFonts w:eastAsiaTheme="minorEastAsia"/>
                <w:szCs w:val="22"/>
              </w:rPr>
            </w:pPr>
            <w:r>
              <w:rPr>
                <w:szCs w:val="22"/>
              </w:rPr>
              <w:t>872,496,872</w:t>
            </w:r>
          </w:p>
        </w:tc>
      </w:tr>
    </w:tbl>
    <w:p w:rsidR="002B17A7" w:rsidRDefault="002B17A7" w:rsidP="002B17A7">
      <w:pPr>
        <w:pStyle w:val="a3"/>
        <w:ind w:leftChars="0" w:right="480"/>
        <w:jc w:val="right"/>
        <w:rPr>
          <w:szCs w:val="22"/>
        </w:rPr>
      </w:pPr>
      <w:proofErr w:type="gramStart"/>
      <w:r>
        <w:rPr>
          <w:rFonts w:hint="eastAsia"/>
          <w:szCs w:val="22"/>
        </w:rPr>
        <w:lastRenderedPageBreak/>
        <w:t>（</w:t>
      </w:r>
      <w:proofErr w:type="gramEnd"/>
      <w:r>
        <w:rPr>
          <w:rFonts w:hint="eastAsia"/>
          <w:szCs w:val="22"/>
        </w:rPr>
        <w:t>單位：元</w:t>
      </w:r>
      <w:proofErr w:type="gramStart"/>
      <w:r>
        <w:rPr>
          <w:rFonts w:hint="eastAsia"/>
          <w:szCs w:val="22"/>
        </w:rPr>
        <w:t>）</w:t>
      </w:r>
      <w:proofErr w:type="gramEnd"/>
    </w:p>
    <w:p w:rsidR="002B17A7" w:rsidRDefault="002B17A7" w:rsidP="002B17A7">
      <w:pPr>
        <w:pStyle w:val="a3"/>
        <w:spacing w:after="240"/>
        <w:ind w:leftChars="0" w:left="960"/>
        <w:rPr>
          <w:szCs w:val="22"/>
        </w:rPr>
      </w:pPr>
      <w:r>
        <w:rPr>
          <w:rFonts w:hint="eastAsia"/>
          <w:szCs w:val="22"/>
        </w:rPr>
        <w:t>我們的計算模型，並沒有考慮不同人口遞減速度對於未來收取之保費總額的影響，比如說，以人口遞減速度大的</w:t>
      </w:r>
      <w:r>
        <w:rPr>
          <w:szCs w:val="22"/>
        </w:rPr>
        <w:t>1.43%</w:t>
      </w:r>
      <w:r>
        <w:rPr>
          <w:rFonts w:hint="eastAsia"/>
          <w:szCs w:val="22"/>
        </w:rPr>
        <w:t>推算時，保費總額理應減少而使得財務負擔多出更多。不過，由於公保被保險人人數共為</w:t>
      </w:r>
      <w:r>
        <w:rPr>
          <w:szCs w:val="22"/>
        </w:rPr>
        <w:t>582,725</w:t>
      </w:r>
      <w:r>
        <w:rPr>
          <w:rFonts w:hint="eastAsia"/>
          <w:szCs w:val="22"/>
        </w:rPr>
        <w:t>人，私立大專教師僅</w:t>
      </w:r>
      <w:r>
        <w:rPr>
          <w:szCs w:val="22"/>
        </w:rPr>
        <w:t>28,997</w:t>
      </w:r>
      <w:r>
        <w:rPr>
          <w:rFonts w:hint="eastAsia"/>
          <w:szCs w:val="22"/>
        </w:rPr>
        <w:t>人，</w:t>
      </w:r>
      <w:r>
        <w:rPr>
          <w:szCs w:val="22"/>
        </w:rPr>
        <w:t>1.43%</w:t>
      </w:r>
      <w:r>
        <w:rPr>
          <w:rFonts w:hint="eastAsia"/>
          <w:szCs w:val="22"/>
        </w:rPr>
        <w:t>對於整體</w:t>
      </w:r>
      <w:r>
        <w:rPr>
          <w:szCs w:val="22"/>
        </w:rPr>
        <w:t>0.4%</w:t>
      </w:r>
      <w:r>
        <w:rPr>
          <w:rFonts w:hint="eastAsia"/>
          <w:szCs w:val="22"/>
        </w:rPr>
        <w:t>（《公保第六次保險費率精算報告書》取用之比例）的遞減速度影響不大，僅使整體比例變為</w:t>
      </w:r>
      <w:r>
        <w:rPr>
          <w:szCs w:val="22"/>
        </w:rPr>
        <w:t>0.45%</w:t>
      </w:r>
      <w:r>
        <w:rPr>
          <w:rFonts w:hint="eastAsia"/>
          <w:szCs w:val="22"/>
        </w:rPr>
        <w:t>，多出</w:t>
      </w:r>
      <w:r>
        <w:rPr>
          <w:szCs w:val="22"/>
        </w:rPr>
        <w:t>0.05%</w:t>
      </w:r>
      <w:r>
        <w:rPr>
          <w:rFonts w:hint="eastAsia"/>
          <w:szCs w:val="22"/>
        </w:rPr>
        <w:t>。根據《公保第六次保險費率精算報告書》，</w:t>
      </w:r>
      <w:r>
        <w:rPr>
          <w:szCs w:val="22"/>
        </w:rPr>
        <w:t>0.4%</w:t>
      </w:r>
      <w:r>
        <w:rPr>
          <w:rFonts w:hint="eastAsia"/>
          <w:szCs w:val="22"/>
        </w:rPr>
        <w:t>的遞減速度在正負</w:t>
      </w:r>
      <w:r>
        <w:rPr>
          <w:szCs w:val="22"/>
        </w:rPr>
        <w:t>0.1%</w:t>
      </w:r>
      <w:r>
        <w:rPr>
          <w:rFonts w:hint="eastAsia"/>
          <w:szCs w:val="22"/>
        </w:rPr>
        <w:t>的情況下，對於結果的影響並不大，因此保費總額的減少可忽略不計。</w:t>
      </w:r>
    </w:p>
    <w:p w:rsidR="002B17A7" w:rsidRDefault="002B17A7" w:rsidP="002B17A7">
      <w:pPr>
        <w:pStyle w:val="a3"/>
        <w:widowControl/>
        <w:numPr>
          <w:ilvl w:val="0"/>
          <w:numId w:val="6"/>
        </w:numPr>
        <w:ind w:leftChars="0"/>
        <w:rPr>
          <w:szCs w:val="22"/>
        </w:rPr>
      </w:pPr>
      <w:r>
        <w:rPr>
          <w:rFonts w:hint="eastAsia"/>
          <w:szCs w:val="22"/>
        </w:rPr>
        <w:t>給付率調整造成多出之財務負擔對於未來財務狀況的影響</w:t>
      </w:r>
    </w:p>
    <w:p w:rsidR="002B17A7" w:rsidRDefault="002B17A7" w:rsidP="002B17A7">
      <w:pPr>
        <w:pStyle w:val="a3"/>
        <w:spacing w:after="240"/>
        <w:ind w:leftChars="0" w:left="960"/>
        <w:rPr>
          <w:szCs w:val="22"/>
        </w:rPr>
      </w:pPr>
      <w:r>
        <w:rPr>
          <w:rFonts w:hint="eastAsia"/>
          <w:szCs w:val="22"/>
        </w:rPr>
        <w:t>由上表可知，在三種人口遞減速度下，未來多出之財務負擔約為</w:t>
      </w:r>
      <w:r>
        <w:rPr>
          <w:szCs w:val="22"/>
        </w:rPr>
        <w:t>440</w:t>
      </w:r>
      <w:r>
        <w:rPr>
          <w:rFonts w:hint="eastAsia"/>
          <w:szCs w:val="22"/>
        </w:rPr>
        <w:t>億元，平均每年多出</w:t>
      </w:r>
      <w:r>
        <w:rPr>
          <w:szCs w:val="22"/>
        </w:rPr>
        <w:t>8.7</w:t>
      </w:r>
      <w:r>
        <w:rPr>
          <w:rFonts w:hint="eastAsia"/>
          <w:szCs w:val="22"/>
        </w:rPr>
        <w:t>－</w:t>
      </w:r>
      <w:r>
        <w:rPr>
          <w:szCs w:val="22"/>
        </w:rPr>
        <w:t>8.8</w:t>
      </w:r>
      <w:r>
        <w:rPr>
          <w:rFonts w:hint="eastAsia"/>
          <w:szCs w:val="22"/>
        </w:rPr>
        <w:t>億元。若與《公保第六次保險費率精算報告書》在公保費率</w:t>
      </w:r>
      <w:r>
        <w:rPr>
          <w:szCs w:val="22"/>
        </w:rPr>
        <w:t>8.25%</w:t>
      </w:r>
      <w:r>
        <w:rPr>
          <w:rFonts w:hint="eastAsia"/>
          <w:szCs w:val="22"/>
        </w:rPr>
        <w:t>（今年已調整為</w:t>
      </w:r>
      <w:r>
        <w:rPr>
          <w:szCs w:val="22"/>
        </w:rPr>
        <w:t>12.25%</w:t>
      </w:r>
      <w:r>
        <w:rPr>
          <w:rFonts w:hint="eastAsia"/>
          <w:szCs w:val="22"/>
        </w:rPr>
        <w:t>）下之未來</w:t>
      </w:r>
      <w:r>
        <w:rPr>
          <w:szCs w:val="22"/>
        </w:rPr>
        <w:t>50</w:t>
      </w:r>
      <w:r>
        <w:rPr>
          <w:rFonts w:hint="eastAsia"/>
          <w:szCs w:val="22"/>
        </w:rPr>
        <w:t>年公保準備金財務流量表比較，平均來說僅</w:t>
      </w:r>
      <w:proofErr w:type="gramStart"/>
      <w:r>
        <w:rPr>
          <w:rFonts w:hint="eastAsia"/>
          <w:szCs w:val="22"/>
        </w:rPr>
        <w:t>佔</w:t>
      </w:r>
      <w:proofErr w:type="gramEnd"/>
      <w:r>
        <w:rPr>
          <w:rFonts w:hint="eastAsia"/>
          <w:szCs w:val="22"/>
        </w:rPr>
        <w:t>每年期末結餘之</w:t>
      </w:r>
      <w:r>
        <w:rPr>
          <w:szCs w:val="22"/>
        </w:rPr>
        <w:t>0.5%</w:t>
      </w:r>
      <w:r>
        <w:rPr>
          <w:rFonts w:hint="eastAsia"/>
          <w:szCs w:val="22"/>
        </w:rPr>
        <w:t>。</w:t>
      </w:r>
    </w:p>
    <w:p w:rsidR="002B17A7" w:rsidRDefault="002B17A7" w:rsidP="002B17A7">
      <w:pPr>
        <w:pStyle w:val="a3"/>
        <w:widowControl/>
        <w:numPr>
          <w:ilvl w:val="0"/>
          <w:numId w:val="2"/>
        </w:numPr>
        <w:ind w:leftChars="0"/>
        <w:rPr>
          <w:szCs w:val="22"/>
        </w:rPr>
      </w:pPr>
      <w:r>
        <w:rPr>
          <w:rFonts w:hint="eastAsia"/>
          <w:szCs w:val="22"/>
        </w:rPr>
        <w:t>詳細計算過程</w:t>
      </w:r>
    </w:p>
    <w:p w:rsidR="002B17A7" w:rsidRDefault="002B17A7" w:rsidP="002B17A7">
      <w:pPr>
        <w:pStyle w:val="a3"/>
        <w:widowControl/>
        <w:numPr>
          <w:ilvl w:val="0"/>
          <w:numId w:val="7"/>
        </w:numPr>
        <w:ind w:leftChars="0"/>
        <w:rPr>
          <w:szCs w:val="22"/>
        </w:rPr>
      </w:pPr>
      <w:r>
        <w:rPr>
          <w:rFonts w:hint="eastAsia"/>
          <w:szCs w:val="22"/>
        </w:rPr>
        <w:t>我們假設之工作年資和</w:t>
      </w:r>
      <w:proofErr w:type="gramStart"/>
      <w:r>
        <w:rPr>
          <w:rFonts w:hint="eastAsia"/>
          <w:szCs w:val="22"/>
        </w:rPr>
        <w:t>平均餘命</w:t>
      </w:r>
      <w:proofErr w:type="gramEnd"/>
      <w:r>
        <w:rPr>
          <w:rFonts w:hint="eastAsia"/>
          <w:szCs w:val="22"/>
        </w:rPr>
        <w:t>，相加恰為</w:t>
      </w:r>
      <w:r>
        <w:rPr>
          <w:szCs w:val="22"/>
        </w:rPr>
        <w:t>50</w:t>
      </w:r>
      <w:r>
        <w:rPr>
          <w:rFonts w:hint="eastAsia"/>
          <w:szCs w:val="22"/>
        </w:rPr>
        <w:t>年，這代表</w:t>
      </w:r>
      <w:r>
        <w:rPr>
          <w:szCs w:val="22"/>
        </w:rPr>
        <w:t>2017</w:t>
      </w:r>
      <w:r>
        <w:rPr>
          <w:rFonts w:hint="eastAsia"/>
          <w:szCs w:val="22"/>
        </w:rPr>
        <w:t>年開始新進老師在退休後，其領取年金的年份必有超出紅色方框的部分；</w:t>
      </w:r>
      <w:r>
        <w:rPr>
          <w:szCs w:val="22"/>
        </w:rPr>
        <w:t>2016</w:t>
      </w:r>
      <w:r>
        <w:rPr>
          <w:rFonts w:hint="eastAsia"/>
          <w:szCs w:val="22"/>
        </w:rPr>
        <w:t>年前就領取退休金的教師，也會有超出紅色方框的年份；而</w:t>
      </w:r>
      <w:r>
        <w:rPr>
          <w:szCs w:val="22"/>
        </w:rPr>
        <w:t>2016</w:t>
      </w:r>
      <w:r>
        <w:rPr>
          <w:rFonts w:hint="eastAsia"/>
          <w:szCs w:val="22"/>
        </w:rPr>
        <w:t>年的所有教師，其領取年金的年份則剛好都在紅色方框中。</w:t>
      </w:r>
    </w:p>
    <w:p w:rsidR="002B17A7" w:rsidRDefault="002B17A7" w:rsidP="002B17A7">
      <w:pPr>
        <w:pStyle w:val="a3"/>
        <w:widowControl/>
        <w:numPr>
          <w:ilvl w:val="0"/>
          <w:numId w:val="7"/>
        </w:numPr>
        <w:ind w:leftChars="0"/>
        <w:rPr>
          <w:szCs w:val="22"/>
        </w:rPr>
      </w:pPr>
      <w:r>
        <w:rPr>
          <w:rFonts w:hint="eastAsia"/>
          <w:szCs w:val="22"/>
        </w:rPr>
        <w:t>因此，我們可以分成三個部分計算未來多出之財務負擔，分別為</w:t>
      </w:r>
      <w:r>
        <w:rPr>
          <w:szCs w:val="22"/>
        </w:rPr>
        <w:t>(1) 2010</w:t>
      </w:r>
      <w:r>
        <w:rPr>
          <w:rFonts w:hint="eastAsia"/>
          <w:szCs w:val="22"/>
        </w:rPr>
        <w:t>－</w:t>
      </w:r>
      <w:r>
        <w:rPr>
          <w:szCs w:val="22"/>
        </w:rPr>
        <w:t>2015</w:t>
      </w:r>
      <w:r>
        <w:rPr>
          <w:rFonts w:hint="eastAsia"/>
          <w:szCs w:val="22"/>
        </w:rPr>
        <w:t>年退休者；</w:t>
      </w:r>
      <w:r>
        <w:rPr>
          <w:szCs w:val="22"/>
        </w:rPr>
        <w:t>(2) 2016</w:t>
      </w:r>
      <w:r>
        <w:rPr>
          <w:rFonts w:hint="eastAsia"/>
          <w:szCs w:val="22"/>
        </w:rPr>
        <w:t>年－</w:t>
      </w:r>
      <w:r>
        <w:rPr>
          <w:szCs w:val="22"/>
        </w:rPr>
        <w:t>2043</w:t>
      </w:r>
      <w:r>
        <w:rPr>
          <w:rFonts w:hint="eastAsia"/>
          <w:szCs w:val="22"/>
        </w:rPr>
        <w:t>年退休者，即</w:t>
      </w:r>
      <w:r>
        <w:rPr>
          <w:szCs w:val="22"/>
        </w:rPr>
        <w:t>2016</w:t>
      </w:r>
      <w:r>
        <w:rPr>
          <w:rFonts w:hint="eastAsia"/>
          <w:szCs w:val="22"/>
        </w:rPr>
        <w:t>年的所有教師；</w:t>
      </w:r>
      <w:r>
        <w:rPr>
          <w:szCs w:val="22"/>
        </w:rPr>
        <w:t>(3) 2044</w:t>
      </w:r>
      <w:r>
        <w:rPr>
          <w:rFonts w:hint="eastAsia"/>
          <w:szCs w:val="22"/>
        </w:rPr>
        <w:t>年－</w:t>
      </w:r>
      <w:r>
        <w:rPr>
          <w:szCs w:val="22"/>
        </w:rPr>
        <w:t>2065</w:t>
      </w:r>
      <w:r>
        <w:rPr>
          <w:rFonts w:hint="eastAsia"/>
          <w:szCs w:val="22"/>
        </w:rPr>
        <w:t>年退休者，即</w:t>
      </w:r>
      <w:r>
        <w:rPr>
          <w:szCs w:val="22"/>
        </w:rPr>
        <w:t>2017</w:t>
      </w:r>
      <w:r>
        <w:rPr>
          <w:rFonts w:hint="eastAsia"/>
          <w:szCs w:val="22"/>
        </w:rPr>
        <w:t>年－</w:t>
      </w:r>
      <w:r>
        <w:rPr>
          <w:szCs w:val="22"/>
        </w:rPr>
        <w:t>2038</w:t>
      </w:r>
      <w:r>
        <w:rPr>
          <w:rFonts w:hint="eastAsia"/>
          <w:szCs w:val="22"/>
        </w:rPr>
        <w:t>年新進者。</w:t>
      </w:r>
    </w:p>
    <w:p w:rsidR="002B17A7" w:rsidRDefault="002B17A7" w:rsidP="002B17A7">
      <w:pPr>
        <w:pStyle w:val="a3"/>
        <w:widowControl/>
        <w:numPr>
          <w:ilvl w:val="0"/>
          <w:numId w:val="7"/>
        </w:numPr>
        <w:ind w:leftChars="0"/>
        <w:rPr>
          <w:szCs w:val="22"/>
        </w:rPr>
      </w:pPr>
      <w:r>
        <w:rPr>
          <w:rFonts w:hint="eastAsia"/>
          <w:szCs w:val="22"/>
        </w:rPr>
        <w:t>這三</w:t>
      </w:r>
      <w:proofErr w:type="gramStart"/>
      <w:r>
        <w:rPr>
          <w:rFonts w:hint="eastAsia"/>
          <w:szCs w:val="22"/>
        </w:rPr>
        <w:t>個</w:t>
      </w:r>
      <w:proofErr w:type="gramEnd"/>
      <w:r>
        <w:rPr>
          <w:rFonts w:hint="eastAsia"/>
          <w:szCs w:val="22"/>
        </w:rPr>
        <w:t>部份的多出之財務負擔分別如下：</w:t>
      </w:r>
    </w:p>
    <w:p w:rsidR="002B17A7" w:rsidRDefault="002B17A7" w:rsidP="002B17A7">
      <w:pPr>
        <w:pStyle w:val="a3"/>
        <w:widowControl/>
        <w:numPr>
          <w:ilvl w:val="0"/>
          <w:numId w:val="8"/>
        </w:numPr>
        <w:ind w:leftChars="0"/>
        <w:rPr>
          <w:szCs w:val="22"/>
        </w:rPr>
      </w:pPr>
      <w:r>
        <w:rPr>
          <w:szCs w:val="22"/>
        </w:rPr>
        <w:t>2010</w:t>
      </w:r>
      <w:r>
        <w:rPr>
          <w:rFonts w:hint="eastAsia"/>
          <w:szCs w:val="22"/>
        </w:rPr>
        <w:t>年－</w:t>
      </w:r>
      <w:r>
        <w:rPr>
          <w:szCs w:val="22"/>
        </w:rPr>
        <w:t>2015</w:t>
      </w:r>
      <w:r>
        <w:rPr>
          <w:rFonts w:hint="eastAsia"/>
          <w:szCs w:val="22"/>
        </w:rPr>
        <w:t>年退休者</w:t>
      </w:r>
    </w:p>
    <w:p w:rsidR="002B17A7" w:rsidRDefault="00627B0F" w:rsidP="002B17A7">
      <w:pPr>
        <w:pStyle w:val="a3"/>
        <w:ind w:leftChars="0" w:left="-709" w:hanging="284"/>
      </w:pPr>
      <m:oMathPara>
        <m:oMath>
          <m:sSub>
            <m:sSubPr>
              <m:ctrlPr>
                <w:rPr>
                  <w:rFonts w:ascii="Cambria Math" w:hAnsi="Cambria Math"/>
                </w:rPr>
              </m:ctrlPr>
            </m:sSubPr>
            <m:e>
              <m:r>
                <m:rPr>
                  <m:sty m:val="p"/>
                </m:rPr>
                <w:rPr>
                  <w:rFonts w:ascii="Cambria Math" w:hAnsi="Cambria Math" w:hint="eastAsia"/>
                </w:rPr>
                <m:t>財務負擔</m:t>
              </m:r>
              <m:ctrlPr>
                <w:rPr>
                  <w:rFonts w:ascii="Cambria Math" w:hAnsi="Cambria Math"/>
                  <w:i/>
                </w:rPr>
              </m:ctrlPr>
            </m:e>
            <m:sub>
              <m:r>
                <m:rPr>
                  <m:sty m:val="p"/>
                </m:rPr>
                <w:rPr>
                  <w:rFonts w:ascii="Cambria Math" w:hAnsi="Cambria Math"/>
                </w:rPr>
                <m:t>2010</m:t>
              </m:r>
              <m:r>
                <m:rPr>
                  <m:sty m:val="p"/>
                </m:rPr>
                <w:rPr>
                  <w:rFonts w:ascii="Cambria Math" w:hAnsi="Cambria Math" w:hint="eastAsia"/>
                </w:rPr>
                <m:t>年</m:t>
              </m:r>
              <m:r>
                <m:rPr>
                  <m:sty m:val="p"/>
                </m:rPr>
                <w:rPr>
                  <w:rFonts w:ascii="Cambria Math" w:hAnsi="Cambria Math"/>
                </w:rPr>
                <m:t>-2015</m:t>
              </m:r>
              <m:r>
                <m:rPr>
                  <m:sty m:val="p"/>
                </m:rPr>
                <w:rPr>
                  <w:rFonts w:ascii="Cambria Math" w:hAnsi="Cambria Math" w:hint="eastAsia"/>
                </w:rPr>
                <m:t>年退休</m:t>
              </m:r>
            </m:sub>
          </m:sSub>
          <m:r>
            <m:rPr>
              <m:sty m:val="p"/>
            </m:rPr>
            <w:rPr>
              <w:rFonts w:ascii="Cambria Math" w:hAnsi="Cambria Math"/>
            </w:rPr>
            <m:t>= 53,075×(1.55%-1.3%)×27×12×</m:t>
          </m:r>
          <m:nary>
            <m:naryPr>
              <m:chr m:val="∑"/>
              <m:limLoc m:val="undOvr"/>
              <m:ctrlPr>
                <w:rPr>
                  <w:rFonts w:ascii="Cambria Math" w:hAnsi="Cambria Math"/>
                  <w:i/>
                </w:rPr>
              </m:ctrlPr>
            </m:naryPr>
            <m:sub>
              <m:r>
                <m:rPr>
                  <m:sty m:val="p"/>
                </m:rPr>
                <w:rPr>
                  <w:rFonts w:ascii="Cambria Math" w:hAnsi="Cambria Math"/>
                </w:rPr>
                <m:t>j=57</m:t>
              </m:r>
            </m:sub>
            <m:sup>
              <m:r>
                <m:rPr>
                  <m:sty m:val="p"/>
                </m:rPr>
                <w:rPr>
                  <w:rFonts w:ascii="Cambria Math" w:hAnsi="Cambria Math"/>
                </w:rPr>
                <m:t>62</m:t>
              </m:r>
            </m:sup>
            <m:e>
              <m:sSub>
                <m:sSubPr>
                  <m:ctrlPr>
                    <w:rPr>
                      <w:rFonts w:ascii="Cambria Math" w:hAnsi="Cambria Math"/>
                      <w:i/>
                    </w:rPr>
                  </m:ctrlPr>
                </m:sSubPr>
                <m:e>
                  <m:d>
                    <m:dPr>
                      <m:begChr m:val="["/>
                      <m:endChr m:val="]"/>
                      <m:ctrlPr>
                        <w:rPr>
                          <w:rFonts w:ascii="Cambria Math" w:hAnsi="Cambria Math"/>
                          <w:i/>
                        </w:rPr>
                      </m:ctrlPr>
                    </m:dPr>
                    <m:e>
                      <m:r>
                        <m:rPr>
                          <m:sty m:val="p"/>
                        </m:rPr>
                        <w:rPr>
                          <w:rFonts w:ascii="Cambria Math" w:hAnsi="Cambria Math"/>
                        </w:rPr>
                        <m:t>22-</m:t>
                      </m:r>
                      <m:d>
                        <m:dPr>
                          <m:ctrlPr>
                            <w:rPr>
                              <w:rFonts w:ascii="Cambria Math" w:hAnsi="Cambria Math"/>
                              <w:i/>
                            </w:rPr>
                          </m:ctrlPr>
                        </m:dPr>
                        <m:e>
                          <m:r>
                            <m:rPr>
                              <m:sty m:val="p"/>
                            </m:rPr>
                            <w:rPr>
                              <w:rFonts w:ascii="Cambria Math" w:hAnsi="Cambria Math"/>
                            </w:rPr>
                            <m:t>57-j</m:t>
                          </m:r>
                        </m:e>
                      </m:d>
                    </m:e>
                  </m:d>
                  <m:r>
                    <m:rPr>
                      <m:sty m:val="p"/>
                    </m:rPr>
                    <w:rPr>
                      <w:rFonts w:ascii="Cambria Math" w:hAnsi="Cambria Math"/>
                    </w:rPr>
                    <m:t>P</m:t>
                  </m:r>
                </m:e>
                <m:sub>
                  <m:r>
                    <m:rPr>
                      <m:sty m:val="p"/>
                    </m:rPr>
                    <w:rPr>
                      <w:rFonts w:ascii="Cambria Math" w:hAnsi="Cambria Math"/>
                    </w:rPr>
                    <m:t>2010,j</m:t>
                  </m:r>
                </m:sub>
              </m:sSub>
            </m:e>
          </m:nary>
          <m:r>
            <m:rPr>
              <m:sty m:val="p"/>
            </m:rPr>
            <w:rPr>
              <w:rFonts w:ascii="Cambria Math" w:hAnsi="Cambria Math"/>
            </w:rPr>
            <m:t>= 3,347,757,949</m:t>
          </m:r>
        </m:oMath>
      </m:oMathPara>
    </w:p>
    <w:p w:rsidR="002B17A7" w:rsidRDefault="002B17A7" w:rsidP="002B17A7">
      <w:pPr>
        <w:pStyle w:val="a3"/>
        <w:widowControl/>
        <w:numPr>
          <w:ilvl w:val="0"/>
          <w:numId w:val="8"/>
        </w:numPr>
        <w:ind w:leftChars="0"/>
        <w:rPr>
          <w:szCs w:val="22"/>
        </w:rPr>
      </w:pPr>
      <w:r>
        <w:rPr>
          <w:szCs w:val="22"/>
        </w:rPr>
        <w:t>2016</w:t>
      </w:r>
      <w:r>
        <w:rPr>
          <w:rFonts w:hint="eastAsia"/>
          <w:szCs w:val="22"/>
        </w:rPr>
        <w:t>年－</w:t>
      </w:r>
      <w:r>
        <w:rPr>
          <w:szCs w:val="22"/>
        </w:rPr>
        <w:t>2043</w:t>
      </w:r>
      <w:r>
        <w:rPr>
          <w:rFonts w:hint="eastAsia"/>
          <w:szCs w:val="22"/>
        </w:rPr>
        <w:t>年退休者</w:t>
      </w:r>
    </w:p>
    <w:p w:rsidR="002B17A7" w:rsidRDefault="00627B0F" w:rsidP="002B17A7">
      <w:pPr>
        <w:pStyle w:val="a3"/>
        <w:ind w:leftChars="0" w:left="-709" w:firstLine="2149"/>
      </w:pPr>
      <m:oMathPara>
        <m:oMath>
          <m:sSub>
            <m:sSubPr>
              <m:ctrlPr>
                <w:rPr>
                  <w:rFonts w:ascii="Cambria Math" w:hAnsi="Cambria Math"/>
                </w:rPr>
              </m:ctrlPr>
            </m:sSubPr>
            <m:e>
              <m:r>
                <m:rPr>
                  <m:sty m:val="p"/>
                </m:rPr>
                <w:rPr>
                  <w:rFonts w:ascii="Cambria Math" w:hAnsi="Cambria Math" w:hint="eastAsia"/>
                </w:rPr>
                <m:t>財務負擔</m:t>
              </m:r>
              <m:ctrlPr>
                <w:rPr>
                  <w:rFonts w:ascii="Cambria Math" w:hAnsi="Cambria Math"/>
                  <w:i/>
                </w:rPr>
              </m:ctrlPr>
            </m:e>
            <m:sub>
              <m:r>
                <m:rPr>
                  <m:sty m:val="p"/>
                </m:rPr>
                <w:rPr>
                  <w:rFonts w:ascii="Cambria Math" w:hAnsi="Cambria Math"/>
                </w:rPr>
                <m:t>2016</m:t>
              </m:r>
              <m:r>
                <m:rPr>
                  <m:sty m:val="p"/>
                </m:rPr>
                <w:rPr>
                  <w:rFonts w:ascii="Cambria Math" w:hAnsi="Cambria Math" w:hint="eastAsia"/>
                </w:rPr>
                <m:t>年</m:t>
              </m:r>
              <m:r>
                <m:rPr>
                  <m:sty m:val="p"/>
                </m:rPr>
                <w:rPr>
                  <w:rFonts w:ascii="Cambria Math" w:hAnsi="Cambria Math"/>
                </w:rPr>
                <m:t>-2043</m:t>
              </m:r>
              <m:r>
                <m:rPr>
                  <m:sty m:val="p"/>
                </m:rPr>
                <w:rPr>
                  <w:rFonts w:ascii="Cambria Math" w:hAnsi="Cambria Math" w:hint="eastAsia"/>
                </w:rPr>
                <m:t>年退休</m:t>
              </m:r>
            </m:sub>
          </m:sSub>
          <m:r>
            <m:rPr>
              <m:sty m:val="p"/>
            </m:rPr>
            <w:rPr>
              <w:rFonts w:ascii="Cambria Math" w:hAnsi="Cambria Math"/>
            </w:rPr>
            <m:t>=  53,075×</m:t>
          </m:r>
          <m:d>
            <m:dPr>
              <m:ctrlPr>
                <w:rPr>
                  <w:rFonts w:ascii="Cambria Math" w:hAnsi="Cambria Math"/>
                </w:rPr>
              </m:ctrlPr>
            </m:dPr>
            <m:e>
              <m:r>
                <m:rPr>
                  <m:sty m:val="p"/>
                </m:rPr>
                <w:rPr>
                  <w:rFonts w:ascii="Cambria Math" w:hAnsi="Cambria Math"/>
                </w:rPr>
                <m:t>1.55%-1.3%</m:t>
              </m:r>
            </m:e>
          </m:d>
          <m:r>
            <m:rPr>
              <m:sty m:val="p"/>
            </m:rPr>
            <w:rPr>
              <w:rFonts w:ascii="Cambria Math" w:hAnsi="Cambria Math"/>
            </w:rPr>
            <m:t>×27×12×23×</m:t>
          </m:r>
          <m:nary>
            <m:naryPr>
              <m:chr m:val="∑"/>
              <m:limLoc m:val="undOvr"/>
              <m:ctrlPr>
                <w:rPr>
                  <w:rFonts w:ascii="Cambria Math" w:hAnsi="Cambria Math"/>
                  <w:i/>
                </w:rPr>
              </m:ctrlPr>
            </m:naryPr>
            <m:sub>
              <m:r>
                <m:rPr>
                  <m:sty m:val="p"/>
                </m:rPr>
                <w:rPr>
                  <w:rFonts w:ascii="Cambria Math" w:hAnsi="Cambria Math"/>
                </w:rPr>
                <m:t>j=35</m:t>
              </m:r>
            </m:sub>
            <m:sup>
              <m:r>
                <m:rPr>
                  <m:sty m:val="p"/>
                </m:rPr>
                <w:rPr>
                  <w:rFonts w:ascii="Cambria Math" w:hAnsi="Cambria Math"/>
                </w:rPr>
                <m:t>62</m:t>
              </m:r>
            </m:sup>
            <m:e>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2016,j</m:t>
                  </m:r>
                </m:sub>
              </m:sSub>
            </m:e>
          </m:nary>
          <m:r>
            <m:rPr>
              <m:sty m:val="p"/>
            </m:rPr>
            <w:rPr>
              <w:rFonts w:ascii="Cambria Math" w:hAnsi="Cambria Math"/>
            </w:rPr>
            <m:t>= 28,671,863,888</m:t>
          </m:r>
        </m:oMath>
      </m:oMathPara>
    </w:p>
    <w:p w:rsidR="002B17A7" w:rsidRDefault="002B17A7" w:rsidP="002B17A7">
      <w:pPr>
        <w:pStyle w:val="a3"/>
        <w:widowControl/>
        <w:numPr>
          <w:ilvl w:val="0"/>
          <w:numId w:val="8"/>
        </w:numPr>
        <w:ind w:leftChars="0" w:left="-709" w:firstLine="2149"/>
        <w:rPr>
          <w:szCs w:val="22"/>
        </w:rPr>
      </w:pPr>
      <w:r>
        <w:rPr>
          <w:szCs w:val="22"/>
        </w:rPr>
        <w:t>2044</w:t>
      </w:r>
      <w:r>
        <w:rPr>
          <w:rFonts w:hint="eastAsia"/>
          <w:szCs w:val="22"/>
        </w:rPr>
        <w:t>年－</w:t>
      </w:r>
      <w:r>
        <w:rPr>
          <w:szCs w:val="22"/>
        </w:rPr>
        <w:t>2065</w:t>
      </w:r>
      <w:r>
        <w:rPr>
          <w:rFonts w:hint="eastAsia"/>
          <w:szCs w:val="22"/>
        </w:rPr>
        <w:t>年退休者</w:t>
      </w:r>
    </w:p>
    <w:p w:rsidR="002B17A7" w:rsidRDefault="00627B0F" w:rsidP="002B17A7">
      <w:pPr>
        <w:ind w:left="-709" w:firstLine="2149"/>
        <w:rPr>
          <w:szCs w:val="24"/>
        </w:rPr>
      </w:pPr>
      <m:oMathPara>
        <m:oMath>
          <m:sSub>
            <m:sSubPr>
              <m:ctrlPr>
                <w:rPr>
                  <w:rFonts w:ascii="Cambria Math" w:hAnsi="Cambria Math"/>
                  <w:szCs w:val="24"/>
                </w:rPr>
              </m:ctrlPr>
            </m:sSubPr>
            <m:e>
              <m:r>
                <m:rPr>
                  <m:sty m:val="p"/>
                </m:rPr>
                <w:rPr>
                  <w:rFonts w:ascii="Cambria Math" w:hAnsi="Cambria Math" w:hint="eastAsia"/>
                </w:rPr>
                <m:t>財務負擔</m:t>
              </m:r>
              <m:ctrlPr>
                <w:rPr>
                  <w:rFonts w:ascii="Cambria Math" w:hAnsi="Cambria Math"/>
                  <w:i/>
                  <w:szCs w:val="24"/>
                </w:rPr>
              </m:ctrlPr>
            </m:e>
            <m:sub>
              <m:r>
                <m:rPr>
                  <m:sty m:val="p"/>
                </m:rPr>
                <w:rPr>
                  <w:rFonts w:ascii="Cambria Math" w:hAnsi="Cambria Math"/>
                </w:rPr>
                <m:t>2044</m:t>
              </m:r>
              <m:r>
                <m:rPr>
                  <m:sty m:val="p"/>
                </m:rPr>
                <w:rPr>
                  <w:rFonts w:ascii="Cambria Math" w:hAnsi="Cambria Math" w:hint="eastAsia"/>
                </w:rPr>
                <m:t>年</m:t>
              </m:r>
              <m:r>
                <m:rPr>
                  <m:sty m:val="p"/>
                </m:rPr>
                <w:rPr>
                  <w:rFonts w:ascii="Cambria Math" w:hAnsi="Cambria Math"/>
                </w:rPr>
                <m:t>-2065</m:t>
              </m:r>
              <m:r>
                <m:rPr>
                  <m:sty m:val="p"/>
                </m:rPr>
                <w:rPr>
                  <w:rFonts w:ascii="Cambria Math" w:hAnsi="Cambria Math" w:hint="eastAsia"/>
                </w:rPr>
                <m:t>年退休</m:t>
              </m:r>
            </m:sub>
          </m:sSub>
          <m:r>
            <m:rPr>
              <m:sty m:val="p"/>
            </m:rPr>
            <w:rPr>
              <w:rFonts w:ascii="Cambria Math" w:hAnsi="Cambria Math"/>
            </w:rPr>
            <m:t>=  53,075×</m:t>
          </m:r>
          <m:d>
            <m:dPr>
              <m:ctrlPr>
                <w:rPr>
                  <w:rFonts w:ascii="Cambria Math" w:hAnsi="Cambria Math"/>
                  <w:szCs w:val="24"/>
                </w:rPr>
              </m:ctrlPr>
            </m:dPr>
            <m:e>
              <m:r>
                <m:rPr>
                  <m:sty m:val="p"/>
                </m:rPr>
                <w:rPr>
                  <w:rFonts w:ascii="Cambria Math" w:hAnsi="Cambria Math"/>
                </w:rPr>
                <m:t>1.55%-1.3%</m:t>
              </m:r>
            </m:e>
          </m:d>
          <m:r>
            <m:rPr>
              <m:sty m:val="p"/>
            </m:rPr>
            <w:rPr>
              <w:rFonts w:ascii="Cambria Math" w:hAnsi="Cambria Math"/>
            </w:rPr>
            <m:t>×27×12×</m:t>
          </m:r>
          <m:nary>
            <m:naryPr>
              <m:chr m:val="∑"/>
              <m:limLoc m:val="undOvr"/>
              <m:ctrlPr>
                <w:rPr>
                  <w:rFonts w:ascii="Cambria Math" w:hAnsi="Cambria Math"/>
                  <w:i/>
                  <w:szCs w:val="24"/>
                </w:rPr>
              </m:ctrlPr>
            </m:naryPr>
            <m:sub>
              <m:r>
                <m:rPr>
                  <m:sty m:val="p"/>
                </m:rPr>
                <w:rPr>
                  <w:rFonts w:ascii="Cambria Math" w:hAnsi="Cambria Math"/>
                </w:rPr>
                <m:t>j=40</m:t>
              </m:r>
            </m:sub>
            <m:sup>
              <m:r>
                <m:rPr>
                  <m:sty m:val="p"/>
                </m:rPr>
                <w:rPr>
                  <w:rFonts w:ascii="Cambria Math" w:hAnsi="Cambria Math"/>
                </w:rPr>
                <m:t>62</m:t>
              </m:r>
            </m:sup>
            <m:e>
              <m:d>
                <m:dPr>
                  <m:begChr m:val="["/>
                  <m:endChr m:val="]"/>
                  <m:ctrlPr>
                    <w:rPr>
                      <w:rFonts w:ascii="Cambria Math" w:hAnsi="Cambria Math"/>
                      <w:i/>
                      <w:szCs w:val="24"/>
                    </w:rPr>
                  </m:ctrlPr>
                </m:dPr>
                <m:e>
                  <m:r>
                    <w:rPr>
                      <w:rFonts w:ascii="Cambria Math" w:hAnsi="Cambria Math"/>
                    </w:rPr>
                    <m:t>22-</m:t>
                  </m:r>
                  <m:d>
                    <m:dPr>
                      <m:ctrlPr>
                        <w:rPr>
                          <w:rFonts w:ascii="Cambria Math" w:hAnsi="Cambria Math"/>
                          <w:i/>
                          <w:szCs w:val="24"/>
                        </w:rPr>
                      </m:ctrlPr>
                    </m:dPr>
                    <m:e>
                      <m:r>
                        <w:rPr>
                          <w:rFonts w:ascii="Cambria Math" w:hAnsi="Cambria Math"/>
                        </w:rPr>
                        <m:t>62-j</m:t>
                      </m:r>
                    </m:e>
                  </m:d>
                </m:e>
              </m:d>
              <m:r>
                <w:rPr>
                  <w:rFonts w:ascii="Cambria Math" w:hAnsi="Cambria Math"/>
                </w:rPr>
                <m:t>{</m:t>
              </m:r>
              <m:sSub>
                <m:sSubPr>
                  <m:ctrlPr>
                    <w:rPr>
                      <w:rFonts w:ascii="Cambria Math" w:hAnsi="Cambria Math"/>
                      <w:i/>
                      <w:szCs w:val="24"/>
                    </w:rPr>
                  </m:ctrlPr>
                </m:sSubPr>
                <m:e>
                  <m:r>
                    <m:rPr>
                      <m:sty m:val="p"/>
                    </m:rPr>
                    <w:rPr>
                      <w:rFonts w:ascii="Cambria Math" w:hAnsi="Cambria Math"/>
                    </w:rPr>
                    <m:t>P</m:t>
                  </m:r>
                </m:e>
                <m:sub>
                  <m:r>
                    <m:rPr>
                      <m:sty m:val="p"/>
                    </m:rPr>
                    <w:rPr>
                      <w:rFonts w:ascii="Cambria Math" w:hAnsi="Cambria Math"/>
                    </w:rPr>
                    <m:t>2016,j</m:t>
                  </m:r>
                </m:sub>
              </m:sSub>
              <m:r>
                <w:rPr>
                  <w:rFonts w:ascii="Cambria Math" w:hAnsi="Cambria Math"/>
                </w:rPr>
                <m:t>-</m:t>
              </m:r>
              <m:sSup>
                <m:sSupPr>
                  <m:ctrlPr>
                    <w:rPr>
                      <w:rFonts w:ascii="Cambria Math" w:hAnsi="Cambria Math"/>
                      <w:i/>
                    </w:rPr>
                  </m:ctrlPr>
                </m:sSupPr>
                <m:e>
                  <m:r>
                    <w:rPr>
                      <w:rFonts w:ascii="Cambria Math" w:hAnsi="Cambria Math"/>
                    </w:rPr>
                    <m:t>r</m:t>
                  </m:r>
                </m:e>
                <m:sup>
                  <m:d>
                    <m:dPr>
                      <m:begChr m:val="["/>
                      <m:endChr m:val="]"/>
                      <m:ctrlPr>
                        <w:rPr>
                          <w:rFonts w:ascii="Cambria Math" w:hAnsi="Cambria Math"/>
                          <w:i/>
                          <w:szCs w:val="24"/>
                        </w:rPr>
                      </m:ctrlPr>
                    </m:dPr>
                    <m:e>
                      <m:r>
                        <w:rPr>
                          <w:rFonts w:ascii="Cambria Math" w:hAnsi="Cambria Math"/>
                        </w:rPr>
                        <m:t>1+</m:t>
                      </m:r>
                      <m:d>
                        <m:dPr>
                          <m:ctrlPr>
                            <w:rPr>
                              <w:rFonts w:ascii="Cambria Math" w:hAnsi="Cambria Math"/>
                              <w:i/>
                              <w:szCs w:val="24"/>
                            </w:rPr>
                          </m:ctrlPr>
                        </m:dPr>
                        <m:e>
                          <m:r>
                            <w:rPr>
                              <w:rFonts w:ascii="Cambria Math" w:hAnsi="Cambria Math"/>
                            </w:rPr>
                            <m:t>62-j</m:t>
                          </m:r>
                        </m:e>
                      </m:d>
                    </m:e>
                  </m:d>
                </m:sup>
              </m:sSup>
              <m:nary>
                <m:naryPr>
                  <m:chr m:val="∑"/>
                  <m:limLoc m:val="undOvr"/>
                  <m:ctrlPr>
                    <w:rPr>
                      <w:rFonts w:ascii="Cambria Math" w:hAnsi="Cambria Math"/>
                      <w:szCs w:val="24"/>
                    </w:rPr>
                  </m:ctrlPr>
                </m:naryPr>
                <m:sub>
                  <m:r>
                    <w:rPr>
                      <w:rFonts w:ascii="Cambria Math" w:hAnsi="Cambria Math"/>
                    </w:rPr>
                    <m:t>j=35</m:t>
                  </m:r>
                </m:sub>
                <m:sup>
                  <m:r>
                    <w:rPr>
                      <w:rFonts w:ascii="Cambria Math" w:hAnsi="Cambria Math"/>
                    </w:rPr>
                    <m:t>62</m:t>
                  </m:r>
                </m:sup>
                <m:e>
                  <m:sSub>
                    <m:sSubPr>
                      <m:ctrlPr>
                        <w:rPr>
                          <w:rFonts w:ascii="Cambria Math" w:hAnsi="Cambria Math"/>
                          <w:i/>
                          <w:szCs w:val="24"/>
                        </w:rPr>
                      </m:ctrlPr>
                    </m:sSubPr>
                    <m:e>
                      <m:r>
                        <w:rPr>
                          <w:rFonts w:ascii="Cambria Math" w:hAnsi="Cambria Math"/>
                        </w:rPr>
                        <m:t>P</m:t>
                      </m:r>
                    </m:e>
                    <m:sub>
                      <m:r>
                        <w:rPr>
                          <w:rFonts w:ascii="Cambria Math" w:hAnsi="Cambria Math"/>
                        </w:rPr>
                        <m:t>2016,j</m:t>
                      </m:r>
                    </m:sub>
                  </m:sSub>
                </m:e>
              </m:nary>
              <m:r>
                <w:rPr>
                  <w:rFonts w:ascii="Cambria Math" w:hAnsi="Cambria Math"/>
                </w:rPr>
                <m:t>}</m:t>
              </m:r>
            </m:e>
          </m:nary>
          <m:r>
            <m:rPr>
              <m:sty m:val="p"/>
            </m:rPr>
            <w:rPr>
              <w:rFonts w:ascii="Cambria Math" w:hAnsi="Cambria Math"/>
            </w:rPr>
            <m:t>=12,002,830,183-</m:t>
          </m:r>
          <m:nary>
            <m:naryPr>
              <m:chr m:val="∑"/>
              <m:limLoc m:val="undOvr"/>
              <m:ctrlPr>
                <w:rPr>
                  <w:rFonts w:ascii="Cambria Math" w:hAnsi="Cambria Math"/>
                  <w:i/>
                  <w:szCs w:val="24"/>
                </w:rPr>
              </m:ctrlPr>
            </m:naryPr>
            <m:sub>
              <m:r>
                <m:rPr>
                  <m:sty m:val="p"/>
                </m:rPr>
                <w:rPr>
                  <w:rFonts w:ascii="Cambria Math" w:hAnsi="Cambria Math"/>
                </w:rPr>
                <m:t>j=40</m:t>
              </m:r>
            </m:sub>
            <m:sup>
              <m:r>
                <m:rPr>
                  <m:sty m:val="p"/>
                </m:rPr>
                <w:rPr>
                  <w:rFonts w:ascii="Cambria Math" w:hAnsi="Cambria Math"/>
                </w:rPr>
                <m:t>62</m:t>
              </m:r>
            </m:sup>
            <m:e>
              <m:d>
                <m:dPr>
                  <m:begChr m:val="["/>
                  <m:endChr m:val="]"/>
                  <m:ctrlPr>
                    <w:rPr>
                      <w:rFonts w:ascii="Cambria Math" w:hAnsi="Cambria Math"/>
                      <w:i/>
                      <w:szCs w:val="24"/>
                    </w:rPr>
                  </m:ctrlPr>
                </m:dPr>
                <m:e>
                  <m:r>
                    <w:rPr>
                      <w:rFonts w:ascii="Cambria Math" w:hAnsi="Cambria Math"/>
                    </w:rPr>
                    <m:t>22-</m:t>
                  </m:r>
                  <m:d>
                    <m:dPr>
                      <m:ctrlPr>
                        <w:rPr>
                          <w:rFonts w:ascii="Cambria Math" w:hAnsi="Cambria Math"/>
                          <w:i/>
                          <w:szCs w:val="24"/>
                        </w:rPr>
                      </m:ctrlPr>
                    </m:dPr>
                    <m:e>
                      <m:r>
                        <w:rPr>
                          <w:rFonts w:ascii="Cambria Math" w:hAnsi="Cambria Math"/>
                        </w:rPr>
                        <m:t>62-j</m:t>
                      </m:r>
                    </m:e>
                  </m:d>
                </m:e>
              </m:d>
              <m:r>
                <w:rPr>
                  <w:rFonts w:ascii="Cambria Math" w:hAnsi="Cambria Math"/>
                </w:rPr>
                <m:t>{</m:t>
              </m:r>
              <m:sSup>
                <m:sSupPr>
                  <m:ctrlPr>
                    <w:rPr>
                      <w:rFonts w:ascii="Cambria Math" w:hAnsi="Cambria Math"/>
                      <w:i/>
                    </w:rPr>
                  </m:ctrlPr>
                </m:sSupPr>
                <m:e>
                  <m:r>
                    <w:rPr>
                      <w:rFonts w:ascii="Cambria Math" w:hAnsi="Cambria Math"/>
                    </w:rPr>
                    <m:t>r</m:t>
                  </m:r>
                </m:e>
                <m:sup>
                  <m:d>
                    <m:dPr>
                      <m:begChr m:val="["/>
                      <m:endChr m:val="]"/>
                      <m:ctrlPr>
                        <w:rPr>
                          <w:rFonts w:ascii="Cambria Math" w:hAnsi="Cambria Math"/>
                          <w:i/>
                          <w:szCs w:val="24"/>
                        </w:rPr>
                      </m:ctrlPr>
                    </m:dPr>
                    <m:e>
                      <m:r>
                        <w:rPr>
                          <w:rFonts w:ascii="Cambria Math" w:hAnsi="Cambria Math"/>
                        </w:rPr>
                        <m:t>1+</m:t>
                      </m:r>
                      <m:d>
                        <m:dPr>
                          <m:ctrlPr>
                            <w:rPr>
                              <w:rFonts w:ascii="Cambria Math" w:hAnsi="Cambria Math"/>
                              <w:i/>
                              <w:szCs w:val="24"/>
                            </w:rPr>
                          </m:ctrlPr>
                        </m:dPr>
                        <m:e>
                          <m:r>
                            <w:rPr>
                              <w:rFonts w:ascii="Cambria Math" w:hAnsi="Cambria Math"/>
                            </w:rPr>
                            <m:t>62-j</m:t>
                          </m:r>
                        </m:e>
                      </m:d>
                    </m:e>
                  </m:d>
                </m:sup>
              </m:sSup>
              <m:nary>
                <m:naryPr>
                  <m:chr m:val="∑"/>
                  <m:limLoc m:val="undOvr"/>
                  <m:ctrlPr>
                    <w:rPr>
                      <w:rFonts w:ascii="Cambria Math" w:hAnsi="Cambria Math"/>
                      <w:szCs w:val="24"/>
                    </w:rPr>
                  </m:ctrlPr>
                </m:naryPr>
                <m:sub>
                  <m:r>
                    <w:rPr>
                      <w:rFonts w:ascii="Cambria Math" w:hAnsi="Cambria Math"/>
                    </w:rPr>
                    <m:t>j=35</m:t>
                  </m:r>
                </m:sub>
                <m:sup>
                  <m:r>
                    <w:rPr>
                      <w:rFonts w:ascii="Cambria Math" w:hAnsi="Cambria Math"/>
                    </w:rPr>
                    <m:t>62</m:t>
                  </m:r>
                </m:sup>
                <m:e>
                  <m:sSub>
                    <m:sSubPr>
                      <m:ctrlPr>
                        <w:rPr>
                          <w:rFonts w:ascii="Cambria Math" w:hAnsi="Cambria Math"/>
                          <w:i/>
                          <w:szCs w:val="24"/>
                        </w:rPr>
                      </m:ctrlPr>
                    </m:sSubPr>
                    <m:e>
                      <m:r>
                        <w:rPr>
                          <w:rFonts w:ascii="Cambria Math" w:hAnsi="Cambria Math"/>
                        </w:rPr>
                        <m:t>P</m:t>
                      </m:r>
                    </m:e>
                    <m:sub>
                      <m:r>
                        <w:rPr>
                          <w:rFonts w:ascii="Cambria Math" w:hAnsi="Cambria Math"/>
                        </w:rPr>
                        <m:t>2016,j</m:t>
                      </m:r>
                    </m:sub>
                  </m:sSub>
                </m:e>
              </m:nary>
              <m:r>
                <w:rPr>
                  <w:rFonts w:ascii="Cambria Math" w:hAnsi="Cambria Math"/>
                </w:rPr>
                <m:t>}</m:t>
              </m:r>
            </m:e>
          </m:nary>
        </m:oMath>
      </m:oMathPara>
    </w:p>
    <w:p w:rsidR="002B17A7" w:rsidRDefault="002B17A7" w:rsidP="002B17A7">
      <w:pPr>
        <w:pStyle w:val="a3"/>
        <w:widowControl/>
        <w:numPr>
          <w:ilvl w:val="0"/>
          <w:numId w:val="7"/>
        </w:numPr>
        <w:ind w:leftChars="0" w:left="-709" w:firstLine="2149"/>
      </w:pPr>
      <w:r>
        <w:rPr>
          <w:rFonts w:hint="eastAsia"/>
        </w:rPr>
        <w:t>將此三</w:t>
      </w:r>
      <w:proofErr w:type="gramStart"/>
      <w:r>
        <w:rPr>
          <w:rFonts w:hint="eastAsia"/>
        </w:rPr>
        <w:t>個</w:t>
      </w:r>
      <w:proofErr w:type="gramEnd"/>
      <w:r>
        <w:rPr>
          <w:rFonts w:hint="eastAsia"/>
        </w:rPr>
        <w:t>部分的財務負擔加總，得到</w:t>
      </w:r>
    </w:p>
    <w:p w:rsidR="002B17A7" w:rsidRDefault="002B17A7" w:rsidP="002B17A7">
      <w:pPr>
        <w:ind w:left="-709" w:firstLine="2149"/>
      </w:pPr>
      <m:oMathPara>
        <m:oMath>
          <m:r>
            <m:rPr>
              <m:sty m:val="p"/>
            </m:rPr>
            <w:rPr>
              <w:rFonts w:ascii="Cambria Math" w:hAnsi="Cambria Math" w:hint="eastAsia"/>
            </w:rPr>
            <m:t>未來多出之財務負擔</m:t>
          </m:r>
          <m:r>
            <m:rPr>
              <m:sty m:val="p"/>
            </m:rPr>
            <w:rPr>
              <w:rFonts w:ascii="Cambria Math" w:hAnsi="Cambria Math"/>
            </w:rPr>
            <m:t xml:space="preserve"> = 44,022,452,021-</m:t>
          </m:r>
          <m:nary>
            <m:naryPr>
              <m:chr m:val="∑"/>
              <m:limLoc m:val="undOvr"/>
              <m:ctrlPr>
                <w:rPr>
                  <w:rFonts w:ascii="Cambria Math" w:hAnsi="Cambria Math"/>
                  <w:i/>
                  <w:szCs w:val="24"/>
                </w:rPr>
              </m:ctrlPr>
            </m:naryPr>
            <m:sub>
              <m:r>
                <m:rPr>
                  <m:sty m:val="p"/>
                </m:rPr>
                <w:rPr>
                  <w:rFonts w:ascii="Cambria Math" w:hAnsi="Cambria Math"/>
                </w:rPr>
                <m:t>j=40</m:t>
              </m:r>
            </m:sub>
            <m:sup>
              <m:r>
                <m:rPr>
                  <m:sty m:val="p"/>
                </m:rPr>
                <w:rPr>
                  <w:rFonts w:ascii="Cambria Math" w:hAnsi="Cambria Math"/>
                </w:rPr>
                <m:t>62</m:t>
              </m:r>
            </m:sup>
            <m:e>
              <m:d>
                <m:dPr>
                  <m:begChr m:val="["/>
                  <m:endChr m:val="]"/>
                  <m:ctrlPr>
                    <w:rPr>
                      <w:rFonts w:ascii="Cambria Math" w:hAnsi="Cambria Math"/>
                      <w:i/>
                      <w:szCs w:val="24"/>
                    </w:rPr>
                  </m:ctrlPr>
                </m:dPr>
                <m:e>
                  <m:r>
                    <w:rPr>
                      <w:rFonts w:ascii="Cambria Math" w:hAnsi="Cambria Math"/>
                    </w:rPr>
                    <m:t>22-</m:t>
                  </m:r>
                  <m:d>
                    <m:dPr>
                      <m:ctrlPr>
                        <w:rPr>
                          <w:rFonts w:ascii="Cambria Math" w:hAnsi="Cambria Math"/>
                          <w:i/>
                          <w:szCs w:val="24"/>
                        </w:rPr>
                      </m:ctrlPr>
                    </m:dPr>
                    <m:e>
                      <m:r>
                        <w:rPr>
                          <w:rFonts w:ascii="Cambria Math" w:hAnsi="Cambria Math"/>
                        </w:rPr>
                        <m:t>62-j</m:t>
                      </m:r>
                    </m:e>
                  </m:d>
                </m:e>
              </m:d>
              <m:r>
                <w:rPr>
                  <w:rFonts w:ascii="Cambria Math" w:hAnsi="Cambria Math"/>
                </w:rPr>
                <m:t>{</m:t>
              </m:r>
              <m:sSup>
                <m:sSupPr>
                  <m:ctrlPr>
                    <w:rPr>
                      <w:rFonts w:ascii="Cambria Math" w:hAnsi="Cambria Math"/>
                      <w:i/>
                      <w:szCs w:val="24"/>
                    </w:rPr>
                  </m:ctrlPr>
                </m:sSupPr>
                <m:e>
                  <m:r>
                    <w:rPr>
                      <w:rFonts w:ascii="Cambria Math" w:hAnsi="Cambria Math"/>
                    </w:rPr>
                    <m:t>r</m:t>
                  </m:r>
                </m:e>
                <m:sup>
                  <m:d>
                    <m:dPr>
                      <m:begChr m:val="["/>
                      <m:endChr m:val="]"/>
                      <m:ctrlPr>
                        <w:rPr>
                          <w:rFonts w:ascii="Cambria Math" w:hAnsi="Cambria Math"/>
                          <w:i/>
                          <w:szCs w:val="24"/>
                        </w:rPr>
                      </m:ctrlPr>
                    </m:dPr>
                    <m:e>
                      <m:r>
                        <w:rPr>
                          <w:rFonts w:ascii="Cambria Math" w:hAnsi="Cambria Math"/>
                        </w:rPr>
                        <m:t>1+</m:t>
                      </m:r>
                      <m:d>
                        <m:dPr>
                          <m:ctrlPr>
                            <w:rPr>
                              <w:rFonts w:ascii="Cambria Math" w:hAnsi="Cambria Math"/>
                              <w:i/>
                              <w:szCs w:val="24"/>
                            </w:rPr>
                          </m:ctrlPr>
                        </m:dPr>
                        <m:e>
                          <m:r>
                            <w:rPr>
                              <w:rFonts w:ascii="Cambria Math" w:hAnsi="Cambria Math"/>
                            </w:rPr>
                            <m:t>62-j</m:t>
                          </m:r>
                        </m:e>
                      </m:d>
                    </m:e>
                  </m:d>
                </m:sup>
              </m:sSup>
              <m:nary>
                <m:naryPr>
                  <m:chr m:val="∑"/>
                  <m:limLoc m:val="undOvr"/>
                  <m:ctrlPr>
                    <w:rPr>
                      <w:rFonts w:ascii="Cambria Math" w:hAnsi="Cambria Math"/>
                      <w:szCs w:val="24"/>
                    </w:rPr>
                  </m:ctrlPr>
                </m:naryPr>
                <m:sub>
                  <m:r>
                    <w:rPr>
                      <w:rFonts w:ascii="Cambria Math" w:hAnsi="Cambria Math"/>
                    </w:rPr>
                    <m:t>j=35</m:t>
                  </m:r>
                </m:sub>
                <m:sup>
                  <m:r>
                    <w:rPr>
                      <w:rFonts w:ascii="Cambria Math" w:hAnsi="Cambria Math"/>
                    </w:rPr>
                    <m:t>62</m:t>
                  </m:r>
                </m:sup>
                <m:e>
                  <m:sSub>
                    <m:sSubPr>
                      <m:ctrlPr>
                        <w:rPr>
                          <w:rFonts w:ascii="Cambria Math" w:hAnsi="Cambria Math"/>
                          <w:i/>
                          <w:szCs w:val="24"/>
                        </w:rPr>
                      </m:ctrlPr>
                    </m:sSubPr>
                    <m:e>
                      <m:r>
                        <w:rPr>
                          <w:rFonts w:ascii="Cambria Math" w:hAnsi="Cambria Math"/>
                        </w:rPr>
                        <m:t>P</m:t>
                      </m:r>
                    </m:e>
                    <m:sub>
                      <m:r>
                        <w:rPr>
                          <w:rFonts w:ascii="Cambria Math" w:hAnsi="Cambria Math"/>
                        </w:rPr>
                        <m:t>2016,j</m:t>
                      </m:r>
                    </m:sub>
                  </m:sSub>
                </m:e>
              </m:nary>
              <m:r>
                <w:rPr>
                  <w:rFonts w:ascii="Cambria Math" w:hAnsi="Cambria Math"/>
                </w:rPr>
                <m:t>}</m:t>
              </m:r>
            </m:e>
          </m:nary>
        </m:oMath>
      </m:oMathPara>
    </w:p>
    <w:p w:rsidR="002B17A7" w:rsidRDefault="002B17A7" w:rsidP="002B17A7">
      <w:pPr>
        <w:ind w:left="-709" w:firstLine="2149"/>
      </w:pPr>
      <w:r>
        <w:rPr>
          <w:kern w:val="0"/>
        </w:rPr>
        <w:br w:type="page"/>
      </w:r>
    </w:p>
    <w:p w:rsidR="002B17A7" w:rsidRDefault="002B17A7" w:rsidP="002B17A7">
      <w:pPr>
        <w:jc w:val="center"/>
      </w:pPr>
      <w:r>
        <w:rPr>
          <w:rFonts w:hint="eastAsia"/>
        </w:rPr>
        <w:lastRenderedPageBreak/>
        <w:t>貳、私校退撫</w:t>
      </w:r>
      <w:proofErr w:type="gramStart"/>
      <w:r>
        <w:rPr>
          <w:rFonts w:hint="eastAsia"/>
        </w:rPr>
        <w:t>提撥</w:t>
      </w:r>
      <w:proofErr w:type="gramEnd"/>
      <w:r>
        <w:rPr>
          <w:rFonts w:hint="eastAsia"/>
        </w:rPr>
        <w:t>率上升對於政府和</w:t>
      </w:r>
      <w:proofErr w:type="gramStart"/>
      <w:r>
        <w:rPr>
          <w:rFonts w:hint="eastAsia"/>
        </w:rPr>
        <w:t>私校</w:t>
      </w:r>
      <w:proofErr w:type="gramEnd"/>
      <w:r>
        <w:rPr>
          <w:rFonts w:hint="eastAsia"/>
        </w:rPr>
        <w:t>財務之影響</w:t>
      </w:r>
    </w:p>
    <w:p w:rsidR="002B17A7" w:rsidRDefault="002B17A7" w:rsidP="002B17A7">
      <w:pPr>
        <w:pStyle w:val="a3"/>
        <w:widowControl/>
        <w:numPr>
          <w:ilvl w:val="0"/>
          <w:numId w:val="9"/>
        </w:numPr>
        <w:ind w:leftChars="0"/>
        <w:rPr>
          <w:szCs w:val="22"/>
        </w:rPr>
      </w:pPr>
      <w:r>
        <w:rPr>
          <w:rFonts w:hint="eastAsia"/>
          <w:szCs w:val="22"/>
        </w:rPr>
        <w:t>結論</w:t>
      </w:r>
    </w:p>
    <w:p w:rsidR="002B17A7" w:rsidRDefault="002B17A7" w:rsidP="002B17A7">
      <w:pPr>
        <w:pStyle w:val="a3"/>
        <w:spacing w:after="240"/>
        <w:ind w:leftChars="0"/>
        <w:rPr>
          <w:b/>
          <w:szCs w:val="22"/>
        </w:rPr>
      </w:pPr>
      <w:r>
        <w:rPr>
          <w:rFonts w:hint="eastAsia"/>
          <w:b/>
          <w:szCs w:val="22"/>
        </w:rPr>
        <w:t>當私校退撫</w:t>
      </w:r>
      <w:proofErr w:type="gramStart"/>
      <w:r>
        <w:rPr>
          <w:rFonts w:hint="eastAsia"/>
          <w:b/>
          <w:szCs w:val="22"/>
        </w:rPr>
        <w:t>提撥</w:t>
      </w:r>
      <w:proofErr w:type="gramEnd"/>
      <w:r>
        <w:rPr>
          <w:rFonts w:hint="eastAsia"/>
          <w:b/>
          <w:szCs w:val="22"/>
        </w:rPr>
        <w:t>率由</w:t>
      </w:r>
      <w:r>
        <w:rPr>
          <w:b/>
          <w:szCs w:val="22"/>
        </w:rPr>
        <w:t>12%</w:t>
      </w:r>
      <w:r>
        <w:rPr>
          <w:rFonts w:hint="eastAsia"/>
          <w:b/>
          <w:szCs w:val="22"/>
        </w:rPr>
        <w:t>調整為</w:t>
      </w:r>
      <w:r>
        <w:rPr>
          <w:b/>
          <w:szCs w:val="22"/>
        </w:rPr>
        <w:t>18%</w:t>
      </w:r>
      <w:r>
        <w:rPr>
          <w:rFonts w:hint="eastAsia"/>
          <w:b/>
          <w:szCs w:val="22"/>
        </w:rPr>
        <w:t>時，政府和</w:t>
      </w:r>
      <w:proofErr w:type="gramStart"/>
      <w:r>
        <w:rPr>
          <w:rFonts w:hint="eastAsia"/>
          <w:b/>
          <w:szCs w:val="22"/>
        </w:rPr>
        <w:t>私校</w:t>
      </w:r>
      <w:proofErr w:type="gramEnd"/>
      <w:r>
        <w:rPr>
          <w:rFonts w:hint="eastAsia"/>
          <w:b/>
          <w:szCs w:val="22"/>
        </w:rPr>
        <w:t>在每年只須多花費</w:t>
      </w:r>
      <w:r>
        <w:rPr>
          <w:b/>
          <w:szCs w:val="22"/>
        </w:rPr>
        <w:t>6.9</w:t>
      </w:r>
      <w:r>
        <w:rPr>
          <w:rFonts w:hint="eastAsia"/>
          <w:b/>
          <w:szCs w:val="22"/>
        </w:rPr>
        <w:t>億元。</w:t>
      </w:r>
    </w:p>
    <w:p w:rsidR="002B17A7" w:rsidRDefault="002B17A7" w:rsidP="002B17A7">
      <w:pPr>
        <w:pStyle w:val="a3"/>
        <w:widowControl/>
        <w:numPr>
          <w:ilvl w:val="0"/>
          <w:numId w:val="9"/>
        </w:numPr>
        <w:ind w:leftChars="0"/>
        <w:rPr>
          <w:szCs w:val="22"/>
        </w:rPr>
      </w:pPr>
      <w:r>
        <w:rPr>
          <w:rFonts w:hint="eastAsia"/>
          <w:szCs w:val="22"/>
        </w:rPr>
        <w:t>計算模型與假設</w:t>
      </w:r>
    </w:p>
    <w:p w:rsidR="002B17A7" w:rsidRDefault="002B17A7" w:rsidP="002B17A7">
      <w:pPr>
        <w:pStyle w:val="a3"/>
        <w:widowControl/>
        <w:numPr>
          <w:ilvl w:val="0"/>
          <w:numId w:val="10"/>
        </w:numPr>
        <w:ind w:leftChars="0"/>
        <w:rPr>
          <w:szCs w:val="22"/>
        </w:rPr>
      </w:pPr>
      <w:r>
        <w:rPr>
          <w:rFonts w:hint="eastAsia"/>
          <w:szCs w:val="22"/>
        </w:rPr>
        <w:t>私校教師的平均薪俸</w:t>
      </w:r>
    </w:p>
    <w:p w:rsidR="002B17A7" w:rsidRDefault="002B17A7" w:rsidP="002B17A7">
      <w:pPr>
        <w:pStyle w:val="a3"/>
        <w:spacing w:after="240"/>
        <w:ind w:leftChars="0" w:left="960"/>
        <w:rPr>
          <w:szCs w:val="22"/>
        </w:rPr>
      </w:pPr>
      <w:proofErr w:type="gramStart"/>
      <w:r>
        <w:rPr>
          <w:rFonts w:hint="eastAsia"/>
          <w:szCs w:val="22"/>
        </w:rPr>
        <w:t>我們均以各</w:t>
      </w:r>
      <w:proofErr w:type="gramEnd"/>
      <w:r>
        <w:rPr>
          <w:rFonts w:hint="eastAsia"/>
          <w:szCs w:val="22"/>
        </w:rPr>
        <w:t>級別之最高薪俸，推算出近五年之私校教師平均薪俸，結果如下表。我們可以看到，近年之平均薪俸，</w:t>
      </w:r>
      <w:proofErr w:type="gramStart"/>
      <w:r>
        <w:rPr>
          <w:rFonts w:hint="eastAsia"/>
          <w:szCs w:val="22"/>
        </w:rPr>
        <w:t>均在</w:t>
      </w:r>
      <w:proofErr w:type="gramEnd"/>
      <w:r>
        <w:rPr>
          <w:szCs w:val="22"/>
        </w:rPr>
        <w:t>48,500</w:t>
      </w:r>
      <w:r>
        <w:rPr>
          <w:rFonts w:hint="eastAsia"/>
          <w:szCs w:val="22"/>
        </w:rPr>
        <w:t>－</w:t>
      </w:r>
      <w:r>
        <w:rPr>
          <w:szCs w:val="22"/>
        </w:rPr>
        <w:t>49,000</w:t>
      </w:r>
      <w:r>
        <w:rPr>
          <w:rFonts w:hint="eastAsia"/>
          <w:szCs w:val="22"/>
        </w:rPr>
        <w:t>元</w:t>
      </w:r>
      <w:proofErr w:type="gramStart"/>
      <w:r>
        <w:rPr>
          <w:rFonts w:hint="eastAsia"/>
          <w:szCs w:val="22"/>
        </w:rPr>
        <w:t>之間，</w:t>
      </w:r>
      <w:proofErr w:type="gramEnd"/>
      <w:r>
        <w:rPr>
          <w:rFonts w:hint="eastAsia"/>
          <w:szCs w:val="22"/>
        </w:rPr>
        <w:t>相差並不大，因此我們取</w:t>
      </w:r>
      <w:r>
        <w:rPr>
          <w:szCs w:val="22"/>
        </w:rPr>
        <w:t>49,000</w:t>
      </w:r>
      <w:r>
        <w:rPr>
          <w:rFonts w:hint="eastAsia"/>
          <w:szCs w:val="22"/>
        </w:rPr>
        <w:t>元作為私校教師平均薪俸。</w:t>
      </w:r>
    </w:p>
    <w:tbl>
      <w:tblPr>
        <w:tblStyle w:val="a4"/>
        <w:tblW w:w="9240" w:type="dxa"/>
        <w:tblInd w:w="-176" w:type="dxa"/>
        <w:tblLayout w:type="fixed"/>
        <w:tblLook w:val="04A0" w:firstRow="1" w:lastRow="0" w:firstColumn="1" w:lastColumn="0" w:noHBand="0" w:noVBand="1"/>
      </w:tblPr>
      <w:tblGrid>
        <w:gridCol w:w="1154"/>
        <w:gridCol w:w="1155"/>
        <w:gridCol w:w="1155"/>
        <w:gridCol w:w="1155"/>
        <w:gridCol w:w="1155"/>
        <w:gridCol w:w="1155"/>
        <w:gridCol w:w="1155"/>
        <w:gridCol w:w="1156"/>
      </w:tblGrid>
      <w:tr w:rsidR="002B17A7" w:rsidTr="002B17A7">
        <w:trPr>
          <w:trHeight w:val="340"/>
        </w:trPr>
        <w:tc>
          <w:tcPr>
            <w:tcW w:w="1155"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color w:val="000000"/>
              </w:rPr>
            </w:pPr>
            <w:r>
              <w:rPr>
                <w:rFonts w:ascii="新細明體" w:eastAsia="新細明體" w:hAnsi="新細明體" w:cs="新細明體" w:hint="eastAsia"/>
                <w:color w:val="000000"/>
              </w:rPr>
              <w:t>學年</w:t>
            </w:r>
            <w:r>
              <w:rPr>
                <w:rFonts w:ascii="細明體" w:eastAsia="細明體" w:hAnsi="細明體" w:cs="細明體" w:hint="eastAsia"/>
                <w:color w:val="000000"/>
              </w:rPr>
              <w:t>別</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color w:val="000000"/>
              </w:rPr>
            </w:pPr>
            <w:r>
              <w:rPr>
                <w:rFonts w:ascii="新細明體" w:eastAsia="新細明體" w:hAnsi="新細明體" w:cs="新細明體" w:hint="eastAsia"/>
                <w:color w:val="000000"/>
              </w:rPr>
              <w:t>教</w:t>
            </w:r>
            <w:r>
              <w:rPr>
                <w:rFonts w:ascii="細明體" w:eastAsia="細明體" w:hAnsi="細明體" w:cs="細明體" w:hint="eastAsia"/>
                <w:color w:val="000000"/>
              </w:rPr>
              <w:t>授</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color w:val="000000"/>
              </w:rPr>
            </w:pPr>
            <w:r>
              <w:rPr>
                <w:rFonts w:ascii="新細明體" w:eastAsia="新細明體" w:hAnsi="新細明體" w:cs="新細明體" w:hint="eastAsia"/>
                <w:color w:val="000000"/>
              </w:rPr>
              <w:t>副教</w:t>
            </w:r>
            <w:r>
              <w:rPr>
                <w:rFonts w:ascii="細明體" w:eastAsia="細明體" w:hAnsi="細明體" w:cs="細明體" w:hint="eastAsia"/>
                <w:color w:val="000000"/>
              </w:rPr>
              <w:t>授</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color w:val="000000"/>
              </w:rPr>
            </w:pPr>
            <w:r>
              <w:rPr>
                <w:rFonts w:ascii="新細明體" w:eastAsia="新細明體" w:hAnsi="新細明體" w:cs="新細明體" w:hint="eastAsia"/>
                <w:color w:val="000000"/>
              </w:rPr>
              <w:t>助</w:t>
            </w:r>
            <w:r>
              <w:rPr>
                <w:rFonts w:ascii="細明體" w:eastAsia="細明體" w:hAnsi="細明體" w:cs="細明體" w:hint="eastAsia"/>
                <w:color w:val="000000"/>
              </w:rPr>
              <w:t>理</w:t>
            </w:r>
          </w:p>
          <w:p w:rsidR="002B17A7" w:rsidRDefault="002B17A7">
            <w:pPr>
              <w:jc w:val="center"/>
              <w:rPr>
                <w:rFonts w:eastAsiaTheme="minorEastAsia"/>
                <w:color w:val="000000"/>
              </w:rPr>
            </w:pPr>
            <w:r>
              <w:rPr>
                <w:rFonts w:ascii="新細明體" w:eastAsia="新細明體" w:hAnsi="新細明體" w:cs="新細明體" w:hint="eastAsia"/>
                <w:color w:val="000000"/>
              </w:rPr>
              <w:t>教</w:t>
            </w:r>
            <w:r>
              <w:rPr>
                <w:rFonts w:ascii="細明體" w:eastAsia="細明體" w:hAnsi="細明體" w:cs="細明體" w:hint="eastAsia"/>
                <w:color w:val="000000"/>
              </w:rPr>
              <w:t>授</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color w:val="000000"/>
              </w:rPr>
            </w:pPr>
            <w:r>
              <w:rPr>
                <w:rFonts w:ascii="新細明體" w:eastAsia="新細明體" w:hAnsi="新細明體" w:cs="新細明體" w:hint="eastAsia"/>
                <w:color w:val="000000"/>
              </w:rPr>
              <w:t>講</w:t>
            </w:r>
            <w:r>
              <w:rPr>
                <w:rFonts w:ascii="細明體" w:eastAsia="細明體" w:hAnsi="細明體" w:cs="細明體" w:hint="eastAsia"/>
                <w:color w:val="000000"/>
              </w:rPr>
              <w:t>師</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color w:val="000000"/>
              </w:rPr>
            </w:pPr>
            <w:r>
              <w:rPr>
                <w:rFonts w:ascii="新細明體" w:eastAsia="新細明體" w:hAnsi="新細明體" w:cs="新細明體" w:hint="eastAsia"/>
                <w:color w:val="000000"/>
              </w:rPr>
              <w:t>其</w:t>
            </w:r>
            <w:r>
              <w:rPr>
                <w:rFonts w:ascii="細明體" w:eastAsia="細明體" w:hAnsi="細明體" w:cs="細明體" w:hint="eastAsia"/>
                <w:color w:val="000000"/>
              </w:rPr>
              <w:t>他</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color w:val="000000"/>
              </w:rPr>
            </w:pPr>
            <w:r>
              <w:rPr>
                <w:rFonts w:ascii="新細明體" w:eastAsia="新細明體" w:hAnsi="新細明體" w:cs="新細明體" w:hint="eastAsia"/>
                <w:color w:val="000000"/>
              </w:rPr>
              <w:t>助</w:t>
            </w:r>
            <w:r>
              <w:rPr>
                <w:rFonts w:ascii="細明體" w:eastAsia="細明體" w:hAnsi="細明體" w:cs="細明體" w:hint="eastAsia"/>
                <w:color w:val="000000"/>
              </w:rPr>
              <w:t>教</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color w:val="000000"/>
              </w:rPr>
            </w:pPr>
            <w:r>
              <w:rPr>
                <w:rFonts w:ascii="新細明體" w:eastAsia="新細明體" w:hAnsi="新細明體" w:cs="新細明體" w:hint="eastAsia"/>
                <w:color w:val="000000"/>
              </w:rPr>
              <w:t>平</w:t>
            </w:r>
            <w:r>
              <w:rPr>
                <w:rFonts w:ascii="細明體" w:eastAsia="細明體" w:hAnsi="細明體" w:cs="細明體" w:hint="eastAsia"/>
                <w:color w:val="000000"/>
              </w:rPr>
              <w:t>均</w:t>
            </w:r>
          </w:p>
          <w:p w:rsidR="002B17A7" w:rsidRDefault="002B17A7">
            <w:pPr>
              <w:jc w:val="center"/>
              <w:rPr>
                <w:rFonts w:eastAsiaTheme="minorEastAsia"/>
                <w:color w:val="000000"/>
              </w:rPr>
            </w:pPr>
            <w:r>
              <w:rPr>
                <w:rFonts w:ascii="新細明體" w:eastAsia="新細明體" w:hAnsi="新細明體" w:cs="新細明體" w:hint="eastAsia"/>
                <w:color w:val="000000"/>
              </w:rPr>
              <w:t>薪</w:t>
            </w:r>
            <w:r>
              <w:rPr>
                <w:rFonts w:ascii="細明體" w:eastAsia="細明體" w:hAnsi="細明體" w:cs="細明體" w:hint="eastAsia"/>
                <w:color w:val="000000"/>
              </w:rPr>
              <w:t>俸</w:t>
            </w:r>
          </w:p>
        </w:tc>
      </w:tr>
      <w:tr w:rsidR="002B17A7" w:rsidTr="002B17A7">
        <w:trPr>
          <w:trHeight w:val="340"/>
        </w:trPr>
        <w:tc>
          <w:tcPr>
            <w:tcW w:w="1155"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104</w:t>
            </w:r>
            <w:r>
              <w:rPr>
                <w:rFonts w:ascii="新細明體" w:eastAsia="新細明體" w:hAnsi="新細明體" w:cs="新細明體" w:hint="eastAsia"/>
                <w:szCs w:val="22"/>
              </w:rPr>
              <w:t>學</w:t>
            </w:r>
            <w:r>
              <w:rPr>
                <w:rFonts w:ascii="細明體" w:eastAsia="細明體" w:hAnsi="細明體" w:cs="細明體" w:hint="eastAsia"/>
                <w:szCs w:val="22"/>
              </w:rPr>
              <w:t>年</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4217</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8776</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8996</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4568</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2385</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55</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48,881</w:t>
            </w:r>
          </w:p>
        </w:tc>
      </w:tr>
      <w:tr w:rsidR="002B17A7" w:rsidTr="002B17A7">
        <w:trPr>
          <w:trHeight w:val="340"/>
        </w:trPr>
        <w:tc>
          <w:tcPr>
            <w:tcW w:w="1155"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103</w:t>
            </w:r>
            <w:r>
              <w:rPr>
                <w:rFonts w:ascii="新細明體" w:eastAsia="新細明體" w:hAnsi="新細明體" w:cs="新細明體" w:hint="eastAsia"/>
                <w:szCs w:val="22"/>
              </w:rPr>
              <w:t>學</w:t>
            </w:r>
            <w:r>
              <w:rPr>
                <w:rFonts w:ascii="細明體" w:eastAsia="細明體" w:hAnsi="細明體" w:cs="細明體" w:hint="eastAsia"/>
                <w:szCs w:val="22"/>
              </w:rPr>
              <w:t>年</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4117</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8832</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9229</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5090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2243</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63</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48,894</w:t>
            </w:r>
          </w:p>
        </w:tc>
      </w:tr>
      <w:tr w:rsidR="002B17A7" w:rsidTr="002B17A7">
        <w:trPr>
          <w:trHeight w:val="340"/>
        </w:trPr>
        <w:tc>
          <w:tcPr>
            <w:tcW w:w="1155"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102</w:t>
            </w:r>
            <w:r>
              <w:rPr>
                <w:rFonts w:ascii="新細明體" w:eastAsia="新細明體" w:hAnsi="新細明體" w:cs="新細明體" w:hint="eastAsia"/>
                <w:szCs w:val="22"/>
              </w:rPr>
              <w:t>學</w:t>
            </w:r>
            <w:r>
              <w:rPr>
                <w:rFonts w:ascii="細明體" w:eastAsia="細明體" w:hAnsi="細明體" w:cs="細明體" w:hint="eastAsia"/>
                <w:szCs w:val="22"/>
              </w:rPr>
              <w:t>年</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3937</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8870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9343</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5806</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2214</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56</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48,842</w:t>
            </w:r>
          </w:p>
        </w:tc>
      </w:tr>
      <w:tr w:rsidR="002B17A7" w:rsidTr="002B17A7">
        <w:trPr>
          <w:trHeight w:val="340"/>
        </w:trPr>
        <w:tc>
          <w:tcPr>
            <w:tcW w:w="1155"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101</w:t>
            </w:r>
            <w:r>
              <w:rPr>
                <w:rFonts w:ascii="新細明體" w:eastAsia="新細明體" w:hAnsi="新細明體" w:cs="新細明體" w:hint="eastAsia"/>
                <w:szCs w:val="22"/>
              </w:rPr>
              <w:t>學</w:t>
            </w:r>
            <w:r>
              <w:rPr>
                <w:rFonts w:ascii="細明體" w:eastAsia="細明體" w:hAnsi="細明體" w:cs="細明體" w:hint="eastAsia"/>
                <w:szCs w:val="22"/>
              </w:rPr>
              <w:t>年</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3823</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8729</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9505</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6440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1858</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70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48,914</w:t>
            </w:r>
          </w:p>
        </w:tc>
      </w:tr>
      <w:tr w:rsidR="002B17A7" w:rsidTr="002B17A7">
        <w:trPr>
          <w:trHeight w:val="340"/>
        </w:trPr>
        <w:tc>
          <w:tcPr>
            <w:tcW w:w="1155"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100</w:t>
            </w:r>
            <w:r>
              <w:rPr>
                <w:rFonts w:ascii="新細明體" w:eastAsia="新細明體" w:hAnsi="新細明體" w:cs="新細明體" w:hint="eastAsia"/>
                <w:szCs w:val="22"/>
              </w:rPr>
              <w:t>學</w:t>
            </w:r>
            <w:r>
              <w:rPr>
                <w:rFonts w:ascii="細明體" w:eastAsia="細明體" w:hAnsi="細明體" w:cs="細明體" w:hint="eastAsia"/>
                <w:szCs w:val="22"/>
              </w:rPr>
              <w:t>年</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3802</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8585</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9491</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7078</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1675</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81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48,930</w:t>
            </w:r>
          </w:p>
        </w:tc>
      </w:tr>
    </w:tbl>
    <w:p w:rsidR="002B17A7" w:rsidRDefault="002B17A7" w:rsidP="002B17A7">
      <w:pPr>
        <w:pStyle w:val="a3"/>
        <w:widowControl/>
        <w:numPr>
          <w:ilvl w:val="0"/>
          <w:numId w:val="10"/>
        </w:numPr>
        <w:spacing w:before="240"/>
        <w:ind w:leftChars="0"/>
        <w:rPr>
          <w:szCs w:val="22"/>
        </w:rPr>
      </w:pPr>
      <w:r>
        <w:rPr>
          <w:rFonts w:hint="eastAsia"/>
          <w:szCs w:val="22"/>
        </w:rPr>
        <w:t>私校教師人數</w:t>
      </w:r>
    </w:p>
    <w:p w:rsidR="002B17A7" w:rsidRDefault="002B17A7" w:rsidP="002B17A7">
      <w:pPr>
        <w:pStyle w:val="a3"/>
        <w:spacing w:after="240"/>
        <w:ind w:leftChars="0" w:left="960"/>
        <w:rPr>
          <w:szCs w:val="22"/>
        </w:rPr>
      </w:pPr>
      <w:r>
        <w:rPr>
          <w:rFonts w:hint="eastAsia"/>
          <w:szCs w:val="22"/>
        </w:rPr>
        <w:t>下表是近五年之私校教師人數，平均約為</w:t>
      </w:r>
      <w:r>
        <w:rPr>
          <w:szCs w:val="22"/>
        </w:rPr>
        <w:t>30,000</w:t>
      </w:r>
      <w:r>
        <w:rPr>
          <w:rFonts w:hint="eastAsia"/>
          <w:szCs w:val="22"/>
        </w:rPr>
        <w:t>人。我們假設未來私校教師人數並不減少，以</w:t>
      </w:r>
      <w:r>
        <w:rPr>
          <w:szCs w:val="22"/>
        </w:rPr>
        <w:t>30,000</w:t>
      </w:r>
      <w:r>
        <w:rPr>
          <w:rFonts w:hint="eastAsia"/>
          <w:szCs w:val="22"/>
        </w:rPr>
        <w:t>人計算。</w:t>
      </w:r>
    </w:p>
    <w:tbl>
      <w:tblPr>
        <w:tblStyle w:val="a4"/>
        <w:tblW w:w="0" w:type="auto"/>
        <w:tblInd w:w="960" w:type="dxa"/>
        <w:tblLayout w:type="fixed"/>
        <w:tblLook w:val="04A0" w:firstRow="1" w:lastRow="0" w:firstColumn="1" w:lastColumn="0" w:noHBand="0" w:noVBand="1"/>
      </w:tblPr>
      <w:tblGrid>
        <w:gridCol w:w="2352"/>
        <w:gridCol w:w="2353"/>
      </w:tblGrid>
      <w:tr w:rsidR="002B17A7" w:rsidTr="002B17A7">
        <w:trPr>
          <w:trHeight w:val="340"/>
        </w:trPr>
        <w:tc>
          <w:tcPr>
            <w:tcW w:w="2352"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color w:val="000000"/>
              </w:rPr>
            </w:pPr>
            <w:r>
              <w:rPr>
                <w:rFonts w:ascii="新細明體" w:eastAsia="新細明體" w:hAnsi="新細明體" w:cs="新細明體" w:hint="eastAsia"/>
                <w:color w:val="000000"/>
              </w:rPr>
              <w:t>學年</w:t>
            </w:r>
            <w:r>
              <w:rPr>
                <w:rFonts w:ascii="細明體" w:eastAsia="細明體" w:hAnsi="細明體" w:cs="細明體" w:hint="eastAsia"/>
                <w:color w:val="000000"/>
              </w:rPr>
              <w:t>別</w:t>
            </w:r>
          </w:p>
        </w:tc>
        <w:tc>
          <w:tcPr>
            <w:tcW w:w="2353"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color w:val="000000"/>
              </w:rPr>
            </w:pPr>
            <w:r>
              <w:rPr>
                <w:rFonts w:ascii="新細明體" w:eastAsia="新細明體" w:hAnsi="新細明體" w:cs="新細明體" w:hint="eastAsia"/>
                <w:color w:val="000000"/>
              </w:rPr>
              <w:t>私校教師人</w:t>
            </w:r>
            <w:r>
              <w:rPr>
                <w:rFonts w:ascii="細明體" w:eastAsia="細明體" w:hAnsi="細明體" w:cs="細明體" w:hint="eastAsia"/>
                <w:color w:val="000000"/>
              </w:rPr>
              <w:t>數</w:t>
            </w:r>
          </w:p>
        </w:tc>
      </w:tr>
      <w:tr w:rsidR="002B17A7" w:rsidTr="002B17A7">
        <w:trPr>
          <w:trHeight w:val="340"/>
        </w:trPr>
        <w:tc>
          <w:tcPr>
            <w:tcW w:w="2352"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104</w:t>
            </w:r>
            <w:r>
              <w:rPr>
                <w:rFonts w:ascii="新細明體" w:eastAsia="新細明體" w:hAnsi="新細明體" w:cs="新細明體" w:hint="eastAsia"/>
                <w:szCs w:val="22"/>
              </w:rPr>
              <w:t>學</w:t>
            </w:r>
            <w:r>
              <w:rPr>
                <w:rFonts w:ascii="細明體" w:eastAsia="細明體" w:hAnsi="細明體" w:cs="細明體" w:hint="eastAsia"/>
                <w:szCs w:val="22"/>
              </w:rPr>
              <w:t>年</w:t>
            </w:r>
          </w:p>
        </w:tc>
        <w:tc>
          <w:tcPr>
            <w:tcW w:w="2353"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28997</w:t>
            </w:r>
          </w:p>
        </w:tc>
      </w:tr>
      <w:tr w:rsidR="002B17A7" w:rsidTr="002B17A7">
        <w:trPr>
          <w:trHeight w:val="340"/>
        </w:trPr>
        <w:tc>
          <w:tcPr>
            <w:tcW w:w="2352"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103</w:t>
            </w:r>
            <w:r>
              <w:rPr>
                <w:rFonts w:ascii="新細明體" w:eastAsia="新細明體" w:hAnsi="新細明體" w:cs="新細明體" w:hint="eastAsia"/>
                <w:szCs w:val="22"/>
              </w:rPr>
              <w:t>學</w:t>
            </w:r>
            <w:r>
              <w:rPr>
                <w:rFonts w:ascii="細明體" w:eastAsia="細明體" w:hAnsi="細明體" w:cs="細明體" w:hint="eastAsia"/>
                <w:szCs w:val="22"/>
              </w:rPr>
              <w:t>年</w:t>
            </w:r>
          </w:p>
        </w:tc>
        <w:tc>
          <w:tcPr>
            <w:tcW w:w="2353"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29574</w:t>
            </w:r>
          </w:p>
        </w:tc>
      </w:tr>
      <w:tr w:rsidR="002B17A7" w:rsidTr="002B17A7">
        <w:trPr>
          <w:trHeight w:val="340"/>
        </w:trPr>
        <w:tc>
          <w:tcPr>
            <w:tcW w:w="2352"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102</w:t>
            </w:r>
            <w:r>
              <w:rPr>
                <w:rFonts w:ascii="新細明體" w:eastAsia="新細明體" w:hAnsi="新細明體" w:cs="新細明體" w:hint="eastAsia"/>
                <w:szCs w:val="22"/>
              </w:rPr>
              <w:t>學</w:t>
            </w:r>
            <w:r>
              <w:rPr>
                <w:rFonts w:ascii="細明體" w:eastAsia="細明體" w:hAnsi="細明體" w:cs="細明體" w:hint="eastAsia"/>
                <w:szCs w:val="22"/>
              </w:rPr>
              <w:t>年</w:t>
            </w:r>
          </w:p>
        </w:tc>
        <w:tc>
          <w:tcPr>
            <w:tcW w:w="2353"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30226</w:t>
            </w:r>
          </w:p>
        </w:tc>
      </w:tr>
      <w:tr w:rsidR="002B17A7" w:rsidTr="002B17A7">
        <w:trPr>
          <w:trHeight w:val="340"/>
        </w:trPr>
        <w:tc>
          <w:tcPr>
            <w:tcW w:w="2352"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101</w:t>
            </w:r>
            <w:r>
              <w:rPr>
                <w:rFonts w:ascii="新細明體" w:eastAsia="新細明體" w:hAnsi="新細明體" w:cs="新細明體" w:hint="eastAsia"/>
                <w:szCs w:val="22"/>
              </w:rPr>
              <w:t>學</w:t>
            </w:r>
            <w:r>
              <w:rPr>
                <w:rFonts w:ascii="細明體" w:eastAsia="細明體" w:hAnsi="細明體" w:cs="細明體" w:hint="eastAsia"/>
                <w:szCs w:val="22"/>
              </w:rPr>
              <w:t>年</w:t>
            </w:r>
          </w:p>
        </w:tc>
        <w:tc>
          <w:tcPr>
            <w:tcW w:w="2353"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30425</w:t>
            </w:r>
          </w:p>
        </w:tc>
      </w:tr>
      <w:tr w:rsidR="002B17A7" w:rsidTr="002B17A7">
        <w:trPr>
          <w:trHeight w:val="340"/>
        </w:trPr>
        <w:tc>
          <w:tcPr>
            <w:tcW w:w="2352"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100</w:t>
            </w:r>
            <w:r>
              <w:rPr>
                <w:rFonts w:ascii="新細明體" w:eastAsia="新細明體" w:hAnsi="新細明體" w:cs="新細明體" w:hint="eastAsia"/>
                <w:szCs w:val="22"/>
              </w:rPr>
              <w:t>學</w:t>
            </w:r>
            <w:r>
              <w:rPr>
                <w:rFonts w:ascii="細明體" w:eastAsia="細明體" w:hAnsi="細明體" w:cs="細明體" w:hint="eastAsia"/>
                <w:szCs w:val="22"/>
              </w:rPr>
              <w:t>年</w:t>
            </w:r>
          </w:p>
        </w:tc>
        <w:tc>
          <w:tcPr>
            <w:tcW w:w="2353" w:type="dxa"/>
            <w:tcBorders>
              <w:top w:val="single" w:sz="4" w:space="0" w:color="auto"/>
              <w:left w:val="single" w:sz="4" w:space="0" w:color="auto"/>
              <w:bottom w:val="single" w:sz="4" w:space="0" w:color="auto"/>
              <w:right w:val="single" w:sz="4" w:space="0" w:color="auto"/>
            </w:tcBorders>
            <w:noWrap/>
            <w:vAlign w:val="center"/>
            <w:hideMark/>
          </w:tcPr>
          <w:p w:rsidR="002B17A7" w:rsidRDefault="002B17A7">
            <w:pPr>
              <w:jc w:val="center"/>
              <w:rPr>
                <w:rFonts w:eastAsiaTheme="minorEastAsia"/>
                <w:szCs w:val="22"/>
              </w:rPr>
            </w:pPr>
            <w:r>
              <w:rPr>
                <w:szCs w:val="22"/>
              </w:rPr>
              <w:t>30712</w:t>
            </w:r>
          </w:p>
        </w:tc>
      </w:tr>
    </w:tbl>
    <w:p w:rsidR="002B17A7" w:rsidRDefault="002B17A7" w:rsidP="002B17A7">
      <w:pPr>
        <w:pStyle w:val="a3"/>
        <w:widowControl/>
        <w:numPr>
          <w:ilvl w:val="0"/>
          <w:numId w:val="9"/>
        </w:numPr>
        <w:spacing w:before="240"/>
        <w:ind w:leftChars="0"/>
        <w:rPr>
          <w:szCs w:val="22"/>
        </w:rPr>
      </w:pPr>
      <w:r>
        <w:rPr>
          <w:rFonts w:hint="eastAsia"/>
          <w:szCs w:val="22"/>
        </w:rPr>
        <w:t>計算過程與結果</w:t>
      </w:r>
    </w:p>
    <w:p w:rsidR="002B17A7" w:rsidRDefault="002B17A7" w:rsidP="002B17A7">
      <w:pPr>
        <w:pStyle w:val="a3"/>
        <w:ind w:leftChars="0"/>
        <w:rPr>
          <w:szCs w:val="22"/>
        </w:rPr>
      </w:pPr>
      <w:r>
        <w:rPr>
          <w:rFonts w:hint="eastAsia"/>
          <w:szCs w:val="22"/>
        </w:rPr>
        <w:t>根據前面之假設，我們可計算出私校退撫</w:t>
      </w:r>
      <w:proofErr w:type="gramStart"/>
      <w:r>
        <w:rPr>
          <w:rFonts w:hint="eastAsia"/>
          <w:szCs w:val="22"/>
        </w:rPr>
        <w:t>提撥</w:t>
      </w:r>
      <w:proofErr w:type="gramEnd"/>
      <w:r>
        <w:rPr>
          <w:rFonts w:hint="eastAsia"/>
          <w:szCs w:val="22"/>
        </w:rPr>
        <w:t>率由</w:t>
      </w:r>
      <w:r>
        <w:rPr>
          <w:szCs w:val="22"/>
        </w:rPr>
        <w:t>12%</w:t>
      </w:r>
      <w:r>
        <w:rPr>
          <w:rFonts w:hint="eastAsia"/>
          <w:szCs w:val="22"/>
        </w:rPr>
        <w:t>調整為</w:t>
      </w:r>
      <w:r>
        <w:rPr>
          <w:szCs w:val="22"/>
        </w:rPr>
        <w:t>18%</w:t>
      </w:r>
      <w:r>
        <w:rPr>
          <w:rFonts w:hint="eastAsia"/>
          <w:szCs w:val="22"/>
        </w:rPr>
        <w:t>時，政府和學校每年的財務負擔將多出</w:t>
      </w:r>
    </w:p>
    <w:p w:rsidR="002B17A7" w:rsidRDefault="002B17A7" w:rsidP="002B17A7">
      <w:pPr>
        <w:pStyle w:val="a3"/>
        <w:ind w:leftChars="0"/>
        <w:rPr>
          <w:szCs w:val="22"/>
        </w:rPr>
      </w:pPr>
      <m:oMathPara>
        <m:oMath>
          <m:r>
            <m:rPr>
              <m:sty m:val="p"/>
            </m:rPr>
            <w:rPr>
              <w:rFonts w:ascii="Cambria Math" w:hAnsi="Cambria Math"/>
              <w:szCs w:val="22"/>
            </w:rPr>
            <m:t>30,000×49,000×2×</m:t>
          </m:r>
          <m:d>
            <m:dPr>
              <m:ctrlPr>
                <w:rPr>
                  <w:rFonts w:ascii="Cambria Math" w:hAnsi="Cambria Math"/>
                  <w:szCs w:val="22"/>
                </w:rPr>
              </m:ctrlPr>
            </m:dPr>
            <m:e>
              <m:r>
                <m:rPr>
                  <m:sty m:val="p"/>
                </m:rPr>
                <w:rPr>
                  <w:rFonts w:ascii="Cambria Math" w:hAnsi="Cambria Math"/>
                  <w:szCs w:val="22"/>
                </w:rPr>
                <m:t>18%-12%</m:t>
              </m:r>
            </m:e>
          </m:d>
          <m:r>
            <m:rPr>
              <m:sty m:val="p"/>
            </m:rPr>
            <w:rPr>
              <w:rFonts w:ascii="Cambria Math" w:hAnsi="Cambria Math"/>
              <w:szCs w:val="22"/>
            </w:rPr>
            <m:t>×32.5%×12=687,960,000</m:t>
          </m:r>
          <m:r>
            <m:rPr>
              <m:sty m:val="p"/>
            </m:rPr>
            <w:rPr>
              <w:rFonts w:ascii="Cambria Math" w:hAnsi="Cambria Math" w:hint="eastAsia"/>
              <w:szCs w:val="22"/>
            </w:rPr>
            <m:t>元</m:t>
          </m:r>
        </m:oMath>
      </m:oMathPara>
    </w:p>
    <w:p w:rsidR="002B17A7" w:rsidRDefault="002B17A7" w:rsidP="002B17A7">
      <w:pPr>
        <w:rPr>
          <w:szCs w:val="24"/>
        </w:rPr>
      </w:pPr>
    </w:p>
    <w:p w:rsidR="002B17A7" w:rsidRDefault="002B17A7" w:rsidP="002B17A7">
      <w:pPr>
        <w:widowControl/>
      </w:pPr>
      <w:r>
        <w:rPr>
          <w:kern w:val="0"/>
        </w:rPr>
        <w:br w:type="page"/>
      </w:r>
    </w:p>
    <w:p w:rsidR="002B17A7" w:rsidRDefault="002B17A7" w:rsidP="002B17A7">
      <w:pPr>
        <w:jc w:val="center"/>
      </w:pPr>
      <w:r>
        <w:rPr>
          <w:rFonts w:hint="eastAsia"/>
        </w:rPr>
        <w:lastRenderedPageBreak/>
        <w:t>【綜合評估】</w:t>
      </w:r>
    </w:p>
    <w:p w:rsidR="002B17A7" w:rsidRDefault="002B17A7" w:rsidP="002B17A7">
      <w:r>
        <w:rPr>
          <w:rFonts w:hint="eastAsia"/>
        </w:rPr>
        <w:t>如欲推動上述改革方案，對於政府之財政負擔而言，每年僅需多支出約</w:t>
      </w:r>
      <w:r>
        <w:t>15.6</w:t>
      </w:r>
      <w:r>
        <w:rPr>
          <w:rFonts w:hint="eastAsia"/>
        </w:rPr>
        <w:t>億之支出；若再考量改革措施包含私校編制內職員，則</w:t>
      </w:r>
      <w:proofErr w:type="gramStart"/>
      <w:r>
        <w:rPr>
          <w:rFonts w:hint="eastAsia"/>
        </w:rPr>
        <w:t>推估上總體</w:t>
      </w:r>
      <w:proofErr w:type="gramEnd"/>
      <w:r>
        <w:rPr>
          <w:rFonts w:hint="eastAsia"/>
        </w:rPr>
        <w:t>支出亦僅每年約</w:t>
      </w:r>
      <w:r>
        <w:t>20</w:t>
      </w:r>
      <w:r>
        <w:rPr>
          <w:rFonts w:hint="eastAsia"/>
        </w:rPr>
        <w:t>億左右。</w:t>
      </w:r>
    </w:p>
    <w:p w:rsidR="002B17A7" w:rsidRDefault="002B17A7" w:rsidP="002B17A7"/>
    <w:p w:rsidR="002B17A7" w:rsidRDefault="002B17A7" w:rsidP="002B17A7">
      <w:r>
        <w:rPr>
          <w:rFonts w:hint="eastAsia"/>
        </w:rPr>
        <w:t>立法技術上，有關公保（私校）養老年金給付率之調整，以及私校退撫基金</w:t>
      </w:r>
      <w:proofErr w:type="gramStart"/>
      <w:r>
        <w:rPr>
          <w:rFonts w:hint="eastAsia"/>
        </w:rPr>
        <w:t>提撥</w:t>
      </w:r>
      <w:proofErr w:type="gramEnd"/>
      <w:r>
        <w:rPr>
          <w:rFonts w:hint="eastAsia"/>
        </w:rPr>
        <w:t>率之調整，並未另行開創新制度，而僅是既有費率之修正，並無立法技術上之過度複雜之處。</w:t>
      </w:r>
    </w:p>
    <w:p w:rsidR="002B17A7" w:rsidRDefault="002B17A7" w:rsidP="002B17A7"/>
    <w:p w:rsidR="002B17A7" w:rsidRDefault="002B17A7" w:rsidP="002B17A7">
      <w:r>
        <w:rPr>
          <w:rFonts w:hint="eastAsia"/>
        </w:rPr>
        <w:t>就合理性而言，提高公保（私校）養老年金給付率自</w:t>
      </w:r>
      <w:r>
        <w:t>1.3%</w:t>
      </w:r>
      <w:r>
        <w:rPr>
          <w:rFonts w:hint="eastAsia"/>
        </w:rPr>
        <w:t>為</w:t>
      </w:r>
      <w:r>
        <w:t>1.55%</w:t>
      </w:r>
      <w:r>
        <w:rPr>
          <w:rFonts w:hint="eastAsia"/>
        </w:rPr>
        <w:t>，僅為比照勞工保險之現行老年年金給付率；而提高私校退撫基金</w:t>
      </w:r>
      <w:proofErr w:type="gramStart"/>
      <w:r>
        <w:rPr>
          <w:rFonts w:hint="eastAsia"/>
        </w:rPr>
        <w:t>提撥</w:t>
      </w:r>
      <w:proofErr w:type="gramEnd"/>
      <w:r>
        <w:rPr>
          <w:rFonts w:hint="eastAsia"/>
        </w:rPr>
        <w:t>率自</w:t>
      </w:r>
      <w:r>
        <w:t>12%</w:t>
      </w:r>
      <w:r>
        <w:rPr>
          <w:rFonts w:hint="eastAsia"/>
        </w:rPr>
        <w:t>上升為</w:t>
      </w:r>
      <w:r>
        <w:t>18%</w:t>
      </w:r>
      <w:r>
        <w:rPr>
          <w:rFonts w:hint="eastAsia"/>
        </w:rPr>
        <w:t>，實際上只是使私立學校作為雇主之退撫基金負擔比率，從</w:t>
      </w:r>
      <w:r>
        <w:t>3.9%</w:t>
      </w:r>
      <w:r>
        <w:rPr>
          <w:rFonts w:hint="eastAsia"/>
        </w:rPr>
        <w:t>（</w:t>
      </w:r>
      <w:r>
        <w:t>12%*32.5%</w:t>
      </w:r>
      <w:r>
        <w:rPr>
          <w:rFonts w:hint="eastAsia"/>
        </w:rPr>
        <w:t>）上升為</w:t>
      </w:r>
      <w:r>
        <w:t>5.85%</w:t>
      </w:r>
      <w:r>
        <w:rPr>
          <w:rFonts w:hint="eastAsia"/>
        </w:rPr>
        <w:t>（</w:t>
      </w:r>
      <w:r>
        <w:t>18%*32.5%</w:t>
      </w:r>
      <w:r>
        <w:rPr>
          <w:rFonts w:hint="eastAsia"/>
        </w:rPr>
        <w:t>），接近現行勞工退休金之雇主負擔比率。並無明顯不合理之處。</w:t>
      </w:r>
    </w:p>
    <w:p w:rsidR="002B17A7" w:rsidRDefault="002B17A7" w:rsidP="002B17A7"/>
    <w:p w:rsidR="002B17A7" w:rsidRDefault="002B17A7" w:rsidP="002B17A7">
      <w:r>
        <w:rPr>
          <w:rFonts w:hint="eastAsia"/>
        </w:rPr>
        <w:t>然而，相關修法將可使私立大專院校之教師退休年金有明顯改善，所得替代率向上往勞工看齊，</w:t>
      </w:r>
      <w:proofErr w:type="gramStart"/>
      <w:r>
        <w:rPr>
          <w:rFonts w:hint="eastAsia"/>
        </w:rPr>
        <w:t>且拉近公</w:t>
      </w:r>
      <w:proofErr w:type="gramEnd"/>
      <w:r>
        <w:rPr>
          <w:rFonts w:hint="eastAsia"/>
        </w:rPr>
        <w:t>校、私校教師之不合理退休金落差，為台灣高等教育公校、私校受雇者間之待遇平等化做出關鍵之改革。</w:t>
      </w:r>
    </w:p>
    <w:p w:rsidR="0076061C" w:rsidRPr="002B17A7" w:rsidRDefault="0076061C"/>
    <w:sectPr w:rsidR="0076061C" w:rsidRPr="002B17A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altName w:val="宋体"/>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33E0"/>
    <w:multiLevelType w:val="hybridMultilevel"/>
    <w:tmpl w:val="A89CED08"/>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
    <w:nsid w:val="14FC479B"/>
    <w:multiLevelType w:val="hybridMultilevel"/>
    <w:tmpl w:val="113C9E5C"/>
    <w:lvl w:ilvl="0" w:tplc="99166E90">
      <w:start w:val="1"/>
      <w:numFmt w:val="japaneseCounting"/>
      <w:lvlText w:val="%1、"/>
      <w:lvlJc w:val="left"/>
      <w:pPr>
        <w:ind w:left="720" w:hanging="720"/>
      </w:p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2">
    <w:nsid w:val="23663B7D"/>
    <w:multiLevelType w:val="hybridMultilevel"/>
    <w:tmpl w:val="7D8CFE88"/>
    <w:lvl w:ilvl="0" w:tplc="D2244A00">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nsid w:val="28CA0E18"/>
    <w:multiLevelType w:val="hybridMultilevel"/>
    <w:tmpl w:val="D924C4A8"/>
    <w:lvl w:ilvl="0" w:tplc="C1205CA6">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E9D4C3B"/>
    <w:multiLevelType w:val="hybridMultilevel"/>
    <w:tmpl w:val="7D8CFE88"/>
    <w:lvl w:ilvl="0" w:tplc="D2244A00">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5">
    <w:nsid w:val="46E87454"/>
    <w:multiLevelType w:val="hybridMultilevel"/>
    <w:tmpl w:val="233278BE"/>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6">
    <w:nsid w:val="4BBF2E82"/>
    <w:multiLevelType w:val="hybridMultilevel"/>
    <w:tmpl w:val="95FA3ED0"/>
    <w:lvl w:ilvl="0" w:tplc="D2244A00">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
    <w:nsid w:val="66A74F4A"/>
    <w:multiLevelType w:val="hybridMultilevel"/>
    <w:tmpl w:val="D924C4A8"/>
    <w:lvl w:ilvl="0" w:tplc="C1205CA6">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6B7954D7"/>
    <w:multiLevelType w:val="hybridMultilevel"/>
    <w:tmpl w:val="6F44DDF2"/>
    <w:lvl w:ilvl="0" w:tplc="D2244A00">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9">
    <w:nsid w:val="6F2E773A"/>
    <w:multiLevelType w:val="hybridMultilevel"/>
    <w:tmpl w:val="85EA01FA"/>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1C"/>
    <w:rsid w:val="0005432A"/>
    <w:rsid w:val="001F0A53"/>
    <w:rsid w:val="00227FDD"/>
    <w:rsid w:val="002A16BB"/>
    <w:rsid w:val="002B17A7"/>
    <w:rsid w:val="003960CA"/>
    <w:rsid w:val="003E7338"/>
    <w:rsid w:val="004D4103"/>
    <w:rsid w:val="004E1D3B"/>
    <w:rsid w:val="00581EE7"/>
    <w:rsid w:val="00627B0F"/>
    <w:rsid w:val="0076061C"/>
    <w:rsid w:val="00927BE5"/>
    <w:rsid w:val="009A5BF8"/>
    <w:rsid w:val="00B8069F"/>
    <w:rsid w:val="00E240CD"/>
    <w:rsid w:val="00ED56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7A7"/>
    <w:pPr>
      <w:ind w:leftChars="200" w:left="480"/>
    </w:pPr>
    <w:rPr>
      <w:szCs w:val="24"/>
    </w:rPr>
  </w:style>
  <w:style w:type="table" w:styleId="a4">
    <w:name w:val="Table Grid"/>
    <w:basedOn w:val="a1"/>
    <w:uiPriority w:val="39"/>
    <w:rsid w:val="002B17A7"/>
    <w:rPr>
      <w:rFonts w:eastAsia="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B17A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B17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7A7"/>
    <w:pPr>
      <w:ind w:leftChars="200" w:left="480"/>
    </w:pPr>
    <w:rPr>
      <w:szCs w:val="24"/>
    </w:rPr>
  </w:style>
  <w:style w:type="table" w:styleId="a4">
    <w:name w:val="Table Grid"/>
    <w:basedOn w:val="a1"/>
    <w:uiPriority w:val="39"/>
    <w:rsid w:val="002B17A7"/>
    <w:rPr>
      <w:rFonts w:eastAsia="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B17A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B17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5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12</Pages>
  <Words>1088</Words>
  <Characters>6203</Characters>
  <Application>Microsoft Office Word</Application>
  <DocSecurity>0</DocSecurity>
  <Lines>51</Lines>
  <Paragraphs>14</Paragraphs>
  <ScaleCrop>false</ScaleCrop>
  <Company>SYNNEX</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2017-03-16T07:29:00Z</dcterms:created>
  <dcterms:modified xsi:type="dcterms:W3CDTF">2017-03-16T08:39:00Z</dcterms:modified>
</cp:coreProperties>
</file>