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4" w:rsidRPr="00A11CD3" w:rsidRDefault="00237804" w:rsidP="0023780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1CD3">
        <w:rPr>
          <w:rFonts w:ascii="標楷體" w:eastAsia="標楷體" w:hAnsi="標楷體" w:hint="eastAsia"/>
          <w:b/>
          <w:bCs/>
          <w:sz w:val="40"/>
          <w:szCs w:val="40"/>
        </w:rPr>
        <w:t>國家年金改革委員會委員提案表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11"/>
      </w:tblGrid>
      <w:tr w:rsidR="00237804" w:rsidRPr="00237804" w:rsidTr="007F6676">
        <w:tc>
          <w:tcPr>
            <w:tcW w:w="195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一、提案人</w:t>
            </w:r>
          </w:p>
        </w:tc>
        <w:tc>
          <w:tcPr>
            <w:tcW w:w="6411" w:type="dxa"/>
          </w:tcPr>
          <w:p w:rsidR="00237804" w:rsidRPr="00237804" w:rsidRDefault="00237804" w:rsidP="0023780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劉</w:t>
            </w:r>
            <w:proofErr w:type="gramStart"/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侑</w:t>
            </w:r>
            <w:proofErr w:type="gramEnd"/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學委員</w:t>
            </w:r>
          </w:p>
        </w:tc>
      </w:tr>
      <w:tr w:rsidR="00237804" w:rsidRPr="00237804" w:rsidTr="007F6676">
        <w:tc>
          <w:tcPr>
            <w:tcW w:w="1951" w:type="dxa"/>
          </w:tcPr>
          <w:p w:rsidR="00237804" w:rsidRPr="00237804" w:rsidRDefault="00237804" w:rsidP="0023780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二、連署人</w:t>
            </w:r>
          </w:p>
        </w:tc>
        <w:tc>
          <w:tcPr>
            <w:tcW w:w="6411" w:type="dxa"/>
          </w:tcPr>
          <w:p w:rsidR="00237804" w:rsidRPr="00237804" w:rsidRDefault="00FC4A15" w:rsidP="00FC4A15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曾昭媛</w:t>
            </w:r>
            <w:bookmarkEnd w:id="0"/>
          </w:p>
        </w:tc>
      </w:tr>
      <w:tr w:rsidR="00237804" w:rsidRPr="00237804" w:rsidTr="007F6676">
        <w:tc>
          <w:tcPr>
            <w:tcW w:w="195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三、提案日期</w:t>
            </w:r>
          </w:p>
        </w:tc>
        <w:tc>
          <w:tcPr>
            <w:tcW w:w="6411" w:type="dxa"/>
          </w:tcPr>
          <w:p w:rsidR="00237804" w:rsidRPr="00237804" w:rsidRDefault="00237804" w:rsidP="0023780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2016</w:t>
            </w: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08</w:t>
            </w: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237804" w:rsidRPr="00237804" w:rsidTr="007F6676">
        <w:tc>
          <w:tcPr>
            <w:tcW w:w="195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四、案由</w:t>
            </w:r>
          </w:p>
        </w:tc>
        <w:tc>
          <w:tcPr>
            <w:tcW w:w="6411" w:type="dxa"/>
          </w:tcPr>
          <w:p w:rsidR="00237804" w:rsidRPr="00237804" w:rsidRDefault="00237804" w:rsidP="007F667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現行私立學校大專教師退休年金，與公校落差過大，</w:t>
            </w:r>
            <w:r w:rsidRPr="00237804">
              <w:rPr>
                <w:rFonts w:ascii="Times New Roman" w:eastAsia="標楷體" w:hAnsi="Times New Roman" w:hint="eastAsia"/>
                <w:szCs w:val="24"/>
              </w:rPr>
              <w:t>私校</w:t>
            </w:r>
            <w:r>
              <w:rPr>
                <w:rFonts w:ascii="Times New Roman" w:eastAsia="標楷體" w:hAnsi="Times New Roman" w:hint="eastAsia"/>
                <w:szCs w:val="24"/>
              </w:rPr>
              <w:t>大專</w:t>
            </w:r>
            <w:r w:rsidRPr="00237804">
              <w:rPr>
                <w:rFonts w:ascii="Times New Roman" w:eastAsia="標楷體" w:hAnsi="Times New Roman" w:hint="eastAsia"/>
                <w:szCs w:val="24"/>
              </w:rPr>
              <w:t>教師是各類</w:t>
            </w:r>
            <w:r>
              <w:rPr>
                <w:rFonts w:ascii="Times New Roman" w:eastAsia="標楷體" w:hAnsi="Times New Roman" w:hint="eastAsia"/>
                <w:szCs w:val="24"/>
              </w:rPr>
              <w:t>年金制度中「所得替代率」最低的一群，應當大幅改善，未來年金改革須朝向公、私一致的同工同酬</w:t>
            </w:r>
            <w:r w:rsidR="003A2154">
              <w:rPr>
                <w:rFonts w:ascii="Times New Roman" w:eastAsia="標楷體" w:hAnsi="Times New Roman" w:hint="eastAsia"/>
                <w:szCs w:val="24"/>
              </w:rPr>
              <w:t>之平等待遇</w:t>
            </w:r>
            <w:r>
              <w:rPr>
                <w:rFonts w:ascii="Times New Roman" w:eastAsia="標楷體" w:hAnsi="Times New Roman" w:hint="eastAsia"/>
                <w:szCs w:val="24"/>
              </w:rPr>
              <w:t>原則。</w:t>
            </w:r>
          </w:p>
        </w:tc>
      </w:tr>
      <w:tr w:rsidR="00237804" w:rsidRPr="00237804" w:rsidTr="007F6676">
        <w:tc>
          <w:tcPr>
            <w:tcW w:w="195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五、提案說明</w:t>
            </w:r>
          </w:p>
        </w:tc>
        <w:tc>
          <w:tcPr>
            <w:tcW w:w="6411" w:type="dxa"/>
          </w:tcPr>
          <w:p w:rsidR="00237804" w:rsidRDefault="00237804" w:rsidP="002378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37804">
              <w:rPr>
                <w:rFonts w:ascii="Times New Roman" w:eastAsia="標楷體" w:hAnsi="Times New Roman" w:hint="eastAsia"/>
                <w:szCs w:val="24"/>
              </w:rPr>
              <w:t>現行私立學校教師的本</w:t>
            </w:r>
            <w:proofErr w:type="gramStart"/>
            <w:r w:rsidRPr="00237804">
              <w:rPr>
                <w:rFonts w:ascii="Times New Roman" w:eastAsia="標楷體" w:hAnsi="Times New Roman" w:hint="eastAsia"/>
                <w:szCs w:val="24"/>
              </w:rPr>
              <w:t>俸</w:t>
            </w:r>
            <w:proofErr w:type="gramEnd"/>
            <w:r w:rsidRPr="00237804">
              <w:rPr>
                <w:rFonts w:ascii="Times New Roman" w:eastAsia="標楷體" w:hAnsi="Times New Roman" w:hint="eastAsia"/>
                <w:szCs w:val="24"/>
              </w:rPr>
              <w:t>與加給，依據《教師待遇條例》都已明文</w:t>
            </w:r>
            <w:proofErr w:type="gramStart"/>
            <w:r w:rsidRPr="00237804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237804">
              <w:rPr>
                <w:rFonts w:ascii="Times New Roman" w:eastAsia="標楷體" w:hAnsi="Times New Roman" w:hint="eastAsia"/>
                <w:szCs w:val="24"/>
              </w:rPr>
              <w:t>用公校標準</w:t>
            </w:r>
            <w:r w:rsidR="007B6937">
              <w:rPr>
                <w:rFonts w:ascii="Times New Roman" w:eastAsia="標楷體" w:hAnsi="Times New Roman" w:hint="eastAsia"/>
                <w:szCs w:val="24"/>
              </w:rPr>
              <w:t>，目的無非就是要</w:t>
            </w:r>
            <w:proofErr w:type="gramStart"/>
            <w:r w:rsidR="007B6937">
              <w:rPr>
                <w:rFonts w:ascii="Times New Roman" w:eastAsia="標楷體" w:hAnsi="Times New Roman" w:hint="eastAsia"/>
                <w:szCs w:val="24"/>
              </w:rPr>
              <w:t>拉齊公校</w:t>
            </w:r>
            <w:proofErr w:type="gramEnd"/>
            <w:r w:rsidR="007B6937">
              <w:rPr>
                <w:rFonts w:ascii="Times New Roman" w:eastAsia="標楷體" w:hAnsi="Times New Roman" w:hint="eastAsia"/>
                <w:szCs w:val="24"/>
              </w:rPr>
              <w:t>、私校教師的待遇，然而卻在退休年金一塊，兩者間存有如此大的落差，分別適用不同的制度，</w:t>
            </w:r>
            <w:r w:rsidRPr="00237804">
              <w:rPr>
                <w:rFonts w:ascii="Times New Roman" w:eastAsia="標楷體" w:hAnsi="Times New Roman" w:hint="eastAsia"/>
                <w:szCs w:val="24"/>
              </w:rPr>
              <w:t>這樣如何鼓勵優秀人才長期於私立學校任教？</w:t>
            </w:r>
          </w:p>
          <w:p w:rsidR="00237804" w:rsidRDefault="00237804" w:rsidP="002378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37804" w:rsidRPr="00237804" w:rsidRDefault="007B6937" w:rsidP="002378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高教</w:t>
            </w:r>
            <w:r w:rsidR="00237804" w:rsidRPr="00237804">
              <w:rPr>
                <w:rFonts w:ascii="Times New Roman" w:eastAsia="標楷體" w:hAnsi="Times New Roman" w:hint="eastAsia"/>
                <w:szCs w:val="24"/>
              </w:rPr>
              <w:t>工會主張，政府當前推動的年金改革，應當優先處理此一問題，「學校有公私之別，師生權益不該有公私之分」，應透過改善私校</w:t>
            </w:r>
            <w:r>
              <w:rPr>
                <w:rFonts w:ascii="Times New Roman" w:eastAsia="標楷體" w:hAnsi="Times New Roman" w:hint="eastAsia"/>
                <w:szCs w:val="24"/>
              </w:rPr>
              <w:t>大專教師的退休年金，促進公、私校教師平等待遇，更何況</w:t>
            </w:r>
            <w:r w:rsidR="00237804" w:rsidRPr="00237804">
              <w:rPr>
                <w:rFonts w:ascii="Times New Roman" w:eastAsia="標楷體" w:hAnsi="Times New Roman" w:hint="eastAsia"/>
                <w:szCs w:val="24"/>
              </w:rPr>
              <w:t>私校</w:t>
            </w:r>
            <w:r>
              <w:rPr>
                <w:rFonts w:ascii="Times New Roman" w:eastAsia="標楷體" w:hAnsi="Times New Roman" w:hint="eastAsia"/>
                <w:szCs w:val="24"/>
              </w:rPr>
              <w:t>大專</w:t>
            </w:r>
            <w:r w:rsidR="00237804" w:rsidRPr="00237804">
              <w:rPr>
                <w:rFonts w:ascii="Times New Roman" w:eastAsia="標楷體" w:hAnsi="Times New Roman" w:hint="eastAsia"/>
                <w:szCs w:val="24"/>
              </w:rPr>
              <w:t>教師與公校</w:t>
            </w:r>
            <w:r>
              <w:rPr>
                <w:rFonts w:ascii="Times New Roman" w:eastAsia="標楷體" w:hAnsi="Times New Roman" w:hint="eastAsia"/>
                <w:szCs w:val="24"/>
              </w:rPr>
              <w:t>大專</w:t>
            </w:r>
            <w:r w:rsidR="00237804" w:rsidRPr="00237804">
              <w:rPr>
                <w:rFonts w:ascii="Times New Roman" w:eastAsia="標楷體" w:hAnsi="Times New Roman" w:hint="eastAsia"/>
                <w:szCs w:val="24"/>
              </w:rPr>
              <w:t>教師</w:t>
            </w:r>
            <w:proofErr w:type="gramStart"/>
            <w:r w:rsidR="00237804" w:rsidRPr="00237804">
              <w:rPr>
                <w:rFonts w:ascii="Times New Roman" w:eastAsia="標楷體" w:hAnsi="Times New Roman" w:hint="eastAsia"/>
                <w:szCs w:val="24"/>
              </w:rPr>
              <w:t>提撥</w:t>
            </w:r>
            <w:proofErr w:type="gramEnd"/>
            <w:r w:rsidR="00237804" w:rsidRPr="00237804">
              <w:rPr>
                <w:rFonts w:ascii="Times New Roman" w:eastAsia="標楷體" w:hAnsi="Times New Roman" w:hint="eastAsia"/>
                <w:szCs w:val="24"/>
              </w:rPr>
              <w:t>同樣的薪給數額至公教保險與退撫儲金，兩者間豈可在退休年金上有如此大的落差？</w:t>
            </w:r>
          </w:p>
          <w:p w:rsidR="00237804" w:rsidRDefault="00237804" w:rsidP="007F6676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7B6937" w:rsidRDefault="007B6937" w:rsidP="007F667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根據國家年金改革委員會所提供的資料顯示，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從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2010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年到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2015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年私立教師在原基金與</w:t>
            </w:r>
            <w:proofErr w:type="gramStart"/>
            <w:r w:rsidR="002006C9">
              <w:rPr>
                <w:rFonts w:ascii="Times New Roman" w:eastAsia="標楷體" w:hAnsi="Times New Roman" w:hint="eastAsia"/>
                <w:szCs w:val="24"/>
              </w:rPr>
              <w:t>新制合領金額</w:t>
            </w:r>
            <w:proofErr w:type="gramEnd"/>
            <w:r w:rsidR="002006C9">
              <w:rPr>
                <w:rFonts w:ascii="Times New Roman" w:eastAsia="標楷體" w:hAnsi="Times New Roman" w:hint="eastAsia"/>
                <w:szCs w:val="24"/>
              </w:rPr>
              <w:t>，利用平均</w:t>
            </w:r>
            <w:proofErr w:type="gramStart"/>
            <w:r w:rsidR="002006C9">
              <w:rPr>
                <w:rFonts w:ascii="Times New Roman" w:eastAsia="標楷體" w:hAnsi="Times New Roman" w:hint="eastAsia"/>
                <w:szCs w:val="24"/>
              </w:rPr>
              <w:t>餘命換算成月</w:t>
            </w:r>
            <w:proofErr w:type="gramEnd"/>
            <w:r w:rsidR="002006C9">
              <w:rPr>
                <w:rFonts w:ascii="Times New Roman" w:eastAsia="標楷體" w:hAnsi="Times New Roman" w:hint="eastAsia"/>
                <w:szCs w:val="24"/>
              </w:rPr>
              <w:t>退之後，每月僅能領到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千至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2006C9">
              <w:rPr>
                <w:rFonts w:ascii="Times New Roman" w:eastAsia="標楷體" w:hAnsi="Times New Roman" w:hint="eastAsia"/>
                <w:szCs w:val="24"/>
              </w:rPr>
              <w:t>千元不等，與公校教師差異甚大。</w:t>
            </w:r>
          </w:p>
          <w:p w:rsidR="002006C9" w:rsidRDefault="002006C9" w:rsidP="007F6676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2006C9" w:rsidRPr="002006C9" w:rsidRDefault="002006C9" w:rsidP="007F667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我們具體要求新政府在未來年金改革上，應積極處理公、私校大專教師</w:t>
            </w:r>
            <w:r w:rsidR="003A2154">
              <w:rPr>
                <w:rFonts w:ascii="Times New Roman" w:eastAsia="標楷體" w:hAnsi="Times New Roman" w:hint="eastAsia"/>
                <w:szCs w:val="24"/>
              </w:rPr>
              <w:t>退休金嚴重差別待遇的問題，無論推出的改革版本是維持制度分立或整合，</w:t>
            </w:r>
            <w:proofErr w:type="gramStart"/>
            <w:r w:rsidR="003A2154">
              <w:rPr>
                <w:rFonts w:ascii="Times New Roman" w:eastAsia="標楷體" w:hAnsi="Times New Roman" w:hint="eastAsia"/>
                <w:szCs w:val="24"/>
              </w:rPr>
              <w:t>均應秉持</w:t>
            </w:r>
            <w:proofErr w:type="gramEnd"/>
            <w:r w:rsidR="003A2154">
              <w:rPr>
                <w:rFonts w:ascii="Times New Roman" w:eastAsia="標楷體" w:hAnsi="Times New Roman" w:hint="eastAsia"/>
                <w:szCs w:val="24"/>
              </w:rPr>
              <w:t>同工同酬的平等原則，積極回應私校教師老年經濟安全堪慮的生活風險。</w:t>
            </w:r>
          </w:p>
        </w:tc>
      </w:tr>
      <w:tr w:rsidR="00237804" w:rsidRPr="00237804" w:rsidTr="007F6676">
        <w:tc>
          <w:tcPr>
            <w:tcW w:w="195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六、辦法</w:t>
            </w:r>
          </w:p>
        </w:tc>
        <w:tc>
          <w:tcPr>
            <w:tcW w:w="6411" w:type="dxa"/>
          </w:tcPr>
          <w:p w:rsidR="00237804" w:rsidRPr="00237804" w:rsidRDefault="00237804" w:rsidP="007F667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37804" w:rsidRPr="00237804" w:rsidTr="007F6676">
        <w:tc>
          <w:tcPr>
            <w:tcW w:w="195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37804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</w:p>
        </w:tc>
        <w:tc>
          <w:tcPr>
            <w:tcW w:w="6411" w:type="dxa"/>
          </w:tcPr>
          <w:p w:rsidR="00237804" w:rsidRPr="00237804" w:rsidRDefault="00237804" w:rsidP="007F6676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37804" w:rsidRDefault="00237804" w:rsidP="00237804"/>
    <w:sectPr w:rsidR="00237804" w:rsidSect="00520A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4"/>
    <w:rsid w:val="002006C9"/>
    <w:rsid w:val="00237804"/>
    <w:rsid w:val="00392842"/>
    <w:rsid w:val="003A2154"/>
    <w:rsid w:val="007B6937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Bitstream</dc:creator>
  <cp:lastModifiedBy>Bitstream</cp:lastModifiedBy>
  <cp:revision>2</cp:revision>
  <dcterms:created xsi:type="dcterms:W3CDTF">2016-11-08T07:42:00Z</dcterms:created>
  <dcterms:modified xsi:type="dcterms:W3CDTF">2016-11-08T08:39:00Z</dcterms:modified>
</cp:coreProperties>
</file>