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72AE" w14:textId="77777777" w:rsidR="00CF4E69" w:rsidRPr="00800F67" w:rsidRDefault="00532E50" w:rsidP="00896DA1">
      <w:pPr>
        <w:jc w:val="center"/>
        <w:rPr>
          <w:rFonts w:asciiTheme="minorEastAsia" w:hAnsiTheme="minorEastAsia"/>
          <w:b/>
          <w:sz w:val="28"/>
          <w:szCs w:val="28"/>
        </w:rPr>
      </w:pPr>
      <w:r w:rsidRPr="00800F67">
        <w:rPr>
          <w:rFonts w:asciiTheme="minorEastAsia" w:hAnsiTheme="minorEastAsia" w:hint="eastAsia"/>
          <w:b/>
          <w:sz w:val="28"/>
          <w:szCs w:val="28"/>
        </w:rPr>
        <w:t>賴揆跳票！</w:t>
      </w:r>
      <w:r w:rsidR="00B42D8B">
        <w:rPr>
          <w:rFonts w:asciiTheme="minorEastAsia" w:hAnsiTheme="minorEastAsia" w:hint="eastAsia"/>
          <w:b/>
          <w:sz w:val="28"/>
          <w:szCs w:val="28"/>
        </w:rPr>
        <w:t>七成大專教師</w:t>
      </w:r>
      <w:r w:rsidR="00896DA1" w:rsidRPr="00800F67">
        <w:rPr>
          <w:rFonts w:asciiTheme="minorEastAsia" w:hAnsiTheme="minorEastAsia" w:hint="eastAsia"/>
          <w:b/>
          <w:sz w:val="28"/>
          <w:szCs w:val="28"/>
        </w:rPr>
        <w:t>未「加薪3%」！</w:t>
      </w:r>
    </w:p>
    <w:p w14:paraId="19AC692F" w14:textId="77777777" w:rsidR="00896DA1" w:rsidRPr="00800F67" w:rsidRDefault="00896DA1" w:rsidP="00896DA1">
      <w:pPr>
        <w:ind w:leftChars="200" w:left="480"/>
        <w:jc w:val="center"/>
        <w:rPr>
          <w:rFonts w:asciiTheme="minorEastAsia" w:hAnsiTheme="minorEastAsia"/>
          <w:b/>
          <w:sz w:val="28"/>
          <w:szCs w:val="28"/>
        </w:rPr>
      </w:pPr>
      <w:r w:rsidRPr="00800F67">
        <w:rPr>
          <w:rFonts w:asciiTheme="minorEastAsia" w:hAnsiTheme="minorEastAsia" w:hint="eastAsia"/>
          <w:b/>
          <w:sz w:val="28"/>
          <w:szCs w:val="28"/>
        </w:rPr>
        <w:t>工會呼籲：全體</w:t>
      </w:r>
      <w:r w:rsidR="00532E50" w:rsidRPr="00800F67">
        <w:rPr>
          <w:rFonts w:asciiTheme="minorEastAsia" w:hAnsiTheme="minorEastAsia" w:hint="eastAsia"/>
          <w:b/>
          <w:sz w:val="28"/>
          <w:szCs w:val="28"/>
        </w:rPr>
        <w:t>教職員工應</w:t>
      </w:r>
      <w:r w:rsidRPr="00800F67">
        <w:rPr>
          <w:rFonts w:asciiTheme="minorEastAsia" w:hAnsiTheme="minorEastAsia" w:hint="eastAsia"/>
          <w:b/>
          <w:sz w:val="28"/>
          <w:szCs w:val="28"/>
        </w:rPr>
        <w:t>比照正教授級</w:t>
      </w:r>
      <w:r w:rsidR="00532E50" w:rsidRPr="00800F67">
        <w:rPr>
          <w:rFonts w:asciiTheme="minorEastAsia" w:hAnsiTheme="minorEastAsia" w:hint="eastAsia"/>
          <w:b/>
          <w:sz w:val="28"/>
          <w:szCs w:val="28"/>
        </w:rPr>
        <w:t>調幅，追上物價水準</w:t>
      </w:r>
    </w:p>
    <w:p w14:paraId="064C002D" w14:textId="77777777" w:rsidR="00CF4E69" w:rsidRPr="00800F67" w:rsidRDefault="00CF4E69" w:rsidP="00896DA1">
      <w:pPr>
        <w:jc w:val="center"/>
        <w:rPr>
          <w:rFonts w:asciiTheme="minorEastAsia" w:hAnsiTheme="minorEastAsia"/>
        </w:rPr>
      </w:pPr>
      <w:r w:rsidRPr="00800F67">
        <w:rPr>
          <w:rFonts w:asciiTheme="minorEastAsia" w:hAnsiTheme="minorEastAsia" w:hint="eastAsia"/>
        </w:rPr>
        <w:t>台灣高等教育產業工會022</w:t>
      </w:r>
      <w:r w:rsidR="008A75DC">
        <w:rPr>
          <w:rFonts w:asciiTheme="minorEastAsia" w:hAnsiTheme="minorEastAsia" w:hint="eastAsia"/>
        </w:rPr>
        <w:t>7</w:t>
      </w:r>
      <w:r w:rsidR="000923F6" w:rsidRPr="00800F67">
        <w:rPr>
          <w:rFonts w:asciiTheme="minorEastAsia" w:hAnsiTheme="minorEastAsia" w:hint="eastAsia"/>
        </w:rPr>
        <w:t>新聞稿</w:t>
      </w:r>
    </w:p>
    <w:p w14:paraId="2CAF787E" w14:textId="77777777" w:rsidR="00CF4E69" w:rsidRPr="006107F9" w:rsidRDefault="00CF4E69">
      <w:pPr>
        <w:rPr>
          <w:rFonts w:asciiTheme="minorEastAsia" w:hAnsiTheme="minorEastAsia"/>
        </w:rPr>
      </w:pPr>
    </w:p>
    <w:p w14:paraId="62AE51D0" w14:textId="77777777" w:rsidR="00CF4E69" w:rsidRPr="00800F67" w:rsidRDefault="00932B71">
      <w:pPr>
        <w:rPr>
          <w:rFonts w:asciiTheme="minorEastAsia" w:hAnsiTheme="minorEastAsia"/>
        </w:rPr>
      </w:pPr>
      <w:r w:rsidRPr="00800F67">
        <w:rPr>
          <w:rFonts w:asciiTheme="minorEastAsia" w:hAnsiTheme="minorEastAsia" w:hint="eastAsia"/>
        </w:rPr>
        <w:t>賴揆喊出的</w:t>
      </w:r>
      <w:r w:rsidR="000923F6" w:rsidRPr="00800F67">
        <w:rPr>
          <w:rFonts w:asciiTheme="minorEastAsia" w:hAnsiTheme="minorEastAsia" w:hint="eastAsia"/>
        </w:rPr>
        <w:t>2018年</w:t>
      </w:r>
      <w:r w:rsidRPr="00800F67">
        <w:rPr>
          <w:rFonts w:asciiTheme="minorEastAsia" w:hAnsiTheme="minorEastAsia" w:hint="eastAsia"/>
        </w:rPr>
        <w:t>「公教</w:t>
      </w:r>
      <w:r w:rsidR="00CF4E69" w:rsidRPr="00800F67">
        <w:rPr>
          <w:rFonts w:asciiTheme="minorEastAsia" w:hAnsiTheme="minorEastAsia" w:hint="eastAsia"/>
        </w:rPr>
        <w:t>人員加薪3%</w:t>
      </w:r>
      <w:r w:rsidRPr="00800F67">
        <w:rPr>
          <w:rFonts w:asciiTheme="minorEastAsia" w:hAnsiTheme="minorEastAsia" w:hint="eastAsia"/>
        </w:rPr>
        <w:t>」政策</w:t>
      </w:r>
      <w:r w:rsidR="00896DA1" w:rsidRPr="00800F67">
        <w:rPr>
          <w:rFonts w:asciiTheme="minorEastAsia" w:hAnsiTheme="minorEastAsia" w:hint="eastAsia"/>
        </w:rPr>
        <w:t>跳票</w:t>
      </w:r>
      <w:r w:rsidR="00CF4E69" w:rsidRPr="00800F67">
        <w:rPr>
          <w:rFonts w:asciiTheme="minorEastAsia" w:hAnsiTheme="minorEastAsia" w:hint="eastAsia"/>
        </w:rPr>
        <w:t>？高教工會召開記者會指出，</w:t>
      </w:r>
      <w:r w:rsidR="00896DA1" w:rsidRPr="00800F67">
        <w:rPr>
          <w:rFonts w:asciiTheme="minorEastAsia" w:hAnsiTheme="minorEastAsia" w:hint="eastAsia"/>
        </w:rPr>
        <w:t>工會發現，</w:t>
      </w:r>
      <w:r w:rsidR="00CF4E69" w:rsidRPr="00800F67">
        <w:rPr>
          <w:rFonts w:asciiTheme="minorEastAsia" w:hAnsiTheme="minorEastAsia" w:hint="eastAsia"/>
        </w:rPr>
        <w:t>佔大專院校教師比例達72%之多的副教授、助理教授、講師，在近來</w:t>
      </w:r>
      <w:r w:rsidR="0000213F" w:rsidRPr="00800F67">
        <w:rPr>
          <w:rFonts w:asciiTheme="minorEastAsia" w:hAnsiTheme="minorEastAsia" w:hint="eastAsia"/>
        </w:rPr>
        <w:t>政府</w:t>
      </w:r>
      <w:r w:rsidR="00CF4E69" w:rsidRPr="00800F67">
        <w:rPr>
          <w:rFonts w:asciiTheme="minorEastAsia" w:hAnsiTheme="minorEastAsia" w:hint="eastAsia"/>
        </w:rPr>
        <w:t>修正</w:t>
      </w:r>
      <w:r w:rsidR="006107F9">
        <w:rPr>
          <w:rFonts w:asciiTheme="minorEastAsia" w:hAnsiTheme="minorEastAsia" w:hint="eastAsia"/>
        </w:rPr>
        <w:t>之</w:t>
      </w:r>
      <w:r w:rsidR="00896DA1" w:rsidRPr="00800F67">
        <w:rPr>
          <w:rFonts w:asciiTheme="minorEastAsia" w:hAnsiTheme="minorEastAsia" w:hint="eastAsia"/>
        </w:rPr>
        <w:t>2018年</w:t>
      </w:r>
      <w:r w:rsidR="00CF4E69" w:rsidRPr="00800F67">
        <w:rPr>
          <w:rFonts w:asciiTheme="minorEastAsia" w:hAnsiTheme="minorEastAsia" w:hint="eastAsia"/>
        </w:rPr>
        <w:t>「</w:t>
      </w:r>
      <w:hyperlink r:id="rId7" w:history="1">
        <w:r w:rsidR="00CF4E69" w:rsidRPr="00800F67">
          <w:rPr>
            <w:rStyle w:val="a6"/>
            <w:rFonts w:asciiTheme="minorEastAsia" w:hAnsiTheme="minorEastAsia" w:hint="eastAsia"/>
          </w:rPr>
          <w:t>公立大專校院教師學術研究加給表</w:t>
        </w:r>
      </w:hyperlink>
      <w:r w:rsidR="00CF4E69" w:rsidRPr="00800F67">
        <w:rPr>
          <w:rFonts w:asciiTheme="minorEastAsia" w:hAnsiTheme="minorEastAsia" w:hint="eastAsia"/>
        </w:rPr>
        <w:t>」中，</w:t>
      </w:r>
      <w:r w:rsidR="00800F67" w:rsidRPr="00800F67">
        <w:rPr>
          <w:rFonts w:asciiTheme="minorEastAsia" w:hAnsiTheme="minorEastAsia" w:hint="eastAsia"/>
        </w:rPr>
        <w:t>與2011年的</w:t>
      </w:r>
      <w:hyperlink r:id="rId8" w:history="1">
        <w:r w:rsidR="00800F67" w:rsidRPr="00800F67">
          <w:rPr>
            <w:rStyle w:val="a6"/>
            <w:rFonts w:asciiTheme="minorEastAsia" w:hAnsiTheme="minorEastAsia" w:hint="eastAsia"/>
          </w:rPr>
          <w:t>舊版</w:t>
        </w:r>
      </w:hyperlink>
      <w:r w:rsidR="00800F67" w:rsidRPr="00800F67">
        <w:rPr>
          <w:rFonts w:asciiTheme="minorEastAsia" w:hAnsiTheme="minorEastAsia" w:hint="eastAsia"/>
        </w:rPr>
        <w:t>相較，仍</w:t>
      </w:r>
      <w:r w:rsidR="00CF4E69" w:rsidRPr="00800F67">
        <w:rPr>
          <w:rFonts w:asciiTheme="minorEastAsia" w:hAnsiTheme="minorEastAsia" w:hint="eastAsia"/>
        </w:rPr>
        <w:t>未調整薪給達3%（私立大專教師按《教師待遇條例》第17條準用該表），</w:t>
      </w:r>
      <w:r w:rsidR="0000213F" w:rsidRPr="00800F67">
        <w:rPr>
          <w:rFonts w:asciiTheme="minorEastAsia" w:hAnsiTheme="minorEastAsia" w:hint="eastAsia"/>
        </w:rPr>
        <w:t>實際上</w:t>
      </w:r>
      <w:r w:rsidR="00800F67" w:rsidRPr="00800F67">
        <w:rPr>
          <w:rFonts w:asciiTheme="minorEastAsia" w:hAnsiTheme="minorEastAsia" w:hint="eastAsia"/>
        </w:rPr>
        <w:t>只</w:t>
      </w:r>
      <w:r w:rsidR="0000213F" w:rsidRPr="00800F67">
        <w:rPr>
          <w:rFonts w:asciiTheme="minorEastAsia" w:hAnsiTheme="minorEastAsia" w:hint="eastAsia"/>
        </w:rPr>
        <w:t>有</w:t>
      </w:r>
      <w:r w:rsidR="00800F67" w:rsidRPr="00800F67">
        <w:rPr>
          <w:rFonts w:asciiTheme="minorEastAsia" w:hAnsiTheme="minorEastAsia" w:hint="eastAsia"/>
        </w:rPr>
        <w:t>約</w:t>
      </w:r>
      <w:r w:rsidR="0000213F" w:rsidRPr="00800F67">
        <w:rPr>
          <w:rFonts w:asciiTheme="minorEastAsia" w:hAnsiTheme="minorEastAsia" w:hint="eastAsia"/>
        </w:rPr>
        <w:t>2.6%</w:t>
      </w:r>
      <w:r w:rsidR="00CF4E69" w:rsidRPr="00800F67">
        <w:rPr>
          <w:rFonts w:asciiTheme="minorEastAsia" w:hAnsiTheme="minorEastAsia" w:hint="eastAsia"/>
        </w:rPr>
        <w:t>。而僅有正教授</w:t>
      </w:r>
      <w:r w:rsidR="00896DA1" w:rsidRPr="00800F67">
        <w:rPr>
          <w:rFonts w:asciiTheme="minorEastAsia" w:hAnsiTheme="minorEastAsia" w:hint="eastAsia"/>
        </w:rPr>
        <w:t>一</w:t>
      </w:r>
      <w:r w:rsidR="0000213F" w:rsidRPr="00800F67">
        <w:rPr>
          <w:rFonts w:asciiTheme="minorEastAsia" w:hAnsiTheme="minorEastAsia" w:hint="eastAsia"/>
        </w:rPr>
        <w:t>級，其</w:t>
      </w:r>
      <w:r w:rsidR="00CF4E69" w:rsidRPr="00800F67">
        <w:rPr>
          <w:rFonts w:asciiTheme="minorEastAsia" w:hAnsiTheme="minorEastAsia" w:hint="eastAsia"/>
        </w:rPr>
        <w:t>學術研究加給調整</w:t>
      </w:r>
      <w:r w:rsidR="0000213F" w:rsidRPr="00800F67">
        <w:rPr>
          <w:rFonts w:asciiTheme="minorEastAsia" w:hAnsiTheme="minorEastAsia" w:hint="eastAsia"/>
        </w:rPr>
        <w:t>6.6</w:t>
      </w:r>
      <w:r w:rsidR="00CF4E69" w:rsidRPr="00800F67">
        <w:rPr>
          <w:rFonts w:asciiTheme="minorEastAsia" w:hAnsiTheme="minorEastAsia" w:hint="eastAsia"/>
        </w:rPr>
        <w:t>～</w:t>
      </w:r>
      <w:r w:rsidR="0000213F" w:rsidRPr="00800F67">
        <w:rPr>
          <w:rFonts w:asciiTheme="minorEastAsia" w:hAnsiTheme="minorEastAsia" w:hint="eastAsia"/>
        </w:rPr>
        <w:t>8.7</w:t>
      </w:r>
      <w:r w:rsidR="00CF4E69" w:rsidRPr="00800F67">
        <w:rPr>
          <w:rFonts w:asciiTheme="minorEastAsia" w:hAnsiTheme="minorEastAsia" w:hint="eastAsia"/>
        </w:rPr>
        <w:t>%。</w:t>
      </w:r>
      <w:r w:rsidR="008A75DC">
        <w:rPr>
          <w:rFonts w:asciiTheme="minorEastAsia" w:hAnsiTheme="minorEastAsia" w:hint="eastAsia"/>
        </w:rPr>
        <w:t>（附件一）</w:t>
      </w:r>
    </w:p>
    <w:p w14:paraId="548582CF" w14:textId="77777777" w:rsidR="0000213F" w:rsidRPr="00800F67" w:rsidRDefault="0000213F">
      <w:pPr>
        <w:rPr>
          <w:rFonts w:asciiTheme="minorEastAsia" w:hAnsiTheme="minorEastAsia"/>
        </w:rPr>
      </w:pPr>
    </w:p>
    <w:p w14:paraId="20F82EC5" w14:textId="77777777" w:rsidR="0000213F" w:rsidRPr="00800F67" w:rsidRDefault="0000213F">
      <w:pPr>
        <w:rPr>
          <w:rFonts w:asciiTheme="minorEastAsia" w:hAnsiTheme="minorEastAsia"/>
        </w:rPr>
      </w:pPr>
      <w:r w:rsidRPr="00800F67">
        <w:rPr>
          <w:rFonts w:asciiTheme="minorEastAsia" w:hAnsiTheme="minorEastAsia" w:hint="eastAsia"/>
        </w:rPr>
        <w:t>高教工會指出，這應調整而未調整</w:t>
      </w:r>
      <w:r w:rsidR="00800F67">
        <w:rPr>
          <w:rFonts w:asciiTheme="minorEastAsia" w:hAnsiTheme="minorEastAsia" w:hint="eastAsia"/>
        </w:rPr>
        <w:t>至</w:t>
      </w:r>
      <w:r w:rsidRPr="00800F67">
        <w:rPr>
          <w:rFonts w:asciiTheme="minorEastAsia" w:hAnsiTheme="minorEastAsia" w:hint="eastAsia"/>
        </w:rPr>
        <w:t>3%的薪給，將</w:t>
      </w:r>
      <w:r w:rsidR="000923F6" w:rsidRPr="00800F67">
        <w:rPr>
          <w:rFonts w:asciiTheme="minorEastAsia" w:hAnsiTheme="minorEastAsia" w:hint="eastAsia"/>
        </w:rPr>
        <w:t>影響</w:t>
      </w:r>
      <w:r w:rsidRPr="00800F67">
        <w:rPr>
          <w:rFonts w:asciiTheme="minorEastAsia" w:hAnsiTheme="minorEastAsia" w:hint="eastAsia"/>
        </w:rPr>
        <w:t>我國人數達31744人的副教授、助理教授、講師等大專教育人員們</w:t>
      </w:r>
      <w:r w:rsidR="00800F67" w:rsidRPr="00800F67">
        <w:rPr>
          <w:rFonts w:asciiTheme="minorEastAsia" w:hAnsiTheme="minorEastAsia" w:hint="eastAsia"/>
        </w:rPr>
        <w:t>的法定待遇</w:t>
      </w:r>
      <w:r w:rsidR="00800F67">
        <w:rPr>
          <w:rFonts w:asciiTheme="minorEastAsia" w:hAnsiTheme="minorEastAsia" w:hint="eastAsia"/>
        </w:rPr>
        <w:t>；根據</w:t>
      </w:r>
      <w:r w:rsidR="004B0281">
        <w:rPr>
          <w:rFonts w:asciiTheme="minorEastAsia" w:hAnsiTheme="minorEastAsia" w:hint="eastAsia"/>
        </w:rPr>
        <w:t>工會</w:t>
      </w:r>
      <w:r w:rsidR="00800F67">
        <w:rPr>
          <w:rFonts w:asciiTheme="minorEastAsia" w:hAnsiTheme="minorEastAsia" w:hint="eastAsia"/>
        </w:rPr>
        <w:t>推算，</w:t>
      </w:r>
      <w:r w:rsidR="004B0281">
        <w:rPr>
          <w:rFonts w:asciiTheme="minorEastAsia" w:hAnsiTheme="minorEastAsia" w:hint="eastAsia"/>
        </w:rPr>
        <w:t>總計</w:t>
      </w:r>
      <w:r w:rsidR="00800F67">
        <w:rPr>
          <w:rFonts w:asciiTheme="minorEastAsia" w:hAnsiTheme="minorEastAsia" w:hint="eastAsia"/>
        </w:rPr>
        <w:t>將每年多達1億2800萬</w:t>
      </w:r>
      <w:r w:rsidR="004B0281">
        <w:rPr>
          <w:rFonts w:asciiTheme="minorEastAsia" w:hAnsiTheme="minorEastAsia" w:hint="eastAsia"/>
        </w:rPr>
        <w:t>元之譜</w:t>
      </w:r>
      <w:r w:rsidRPr="00800F67">
        <w:rPr>
          <w:rFonts w:asciiTheme="minorEastAsia" w:hAnsiTheme="minorEastAsia" w:hint="eastAsia"/>
        </w:rPr>
        <w:t>。</w:t>
      </w:r>
      <w:r w:rsidR="00896DA1" w:rsidRPr="00800F67">
        <w:rPr>
          <w:rFonts w:asciiTheme="minorEastAsia" w:hAnsiTheme="minorEastAsia" w:hint="eastAsia"/>
        </w:rPr>
        <w:t>對此，政府部門卻是「偷偷摸摸」地做，根本沒有任何說明與理由？</w:t>
      </w:r>
    </w:p>
    <w:p w14:paraId="6C2700CC" w14:textId="77777777" w:rsidR="0000213F" w:rsidRPr="00800F67" w:rsidRDefault="0000213F">
      <w:pPr>
        <w:rPr>
          <w:rFonts w:asciiTheme="minorEastAsia" w:hAnsiTheme="minorEastAsia"/>
        </w:rPr>
      </w:pPr>
    </w:p>
    <w:p w14:paraId="2F568C05" w14:textId="77777777" w:rsidR="000923F6" w:rsidRPr="00800F67" w:rsidRDefault="0000213F">
      <w:pPr>
        <w:rPr>
          <w:rFonts w:asciiTheme="minorEastAsia" w:hAnsiTheme="minorEastAsia"/>
        </w:rPr>
      </w:pPr>
      <w:r w:rsidRPr="00800F67">
        <w:rPr>
          <w:rFonts w:asciiTheme="minorEastAsia" w:hAnsiTheme="minorEastAsia" w:hint="eastAsia"/>
        </w:rPr>
        <w:t>高教工會強調，</w:t>
      </w:r>
      <w:r w:rsidR="00896DA1" w:rsidRPr="00800F67">
        <w:rPr>
          <w:rFonts w:asciiTheme="minorEastAsia" w:hAnsiTheme="minorEastAsia" w:hint="eastAsia"/>
        </w:rPr>
        <w:t>「</w:t>
      </w:r>
      <w:r w:rsidRPr="00800F67">
        <w:rPr>
          <w:rFonts w:asciiTheme="minorEastAsia" w:hAnsiTheme="minorEastAsia" w:hint="eastAsia"/>
        </w:rPr>
        <w:t>加薪3%</w:t>
      </w:r>
      <w:r w:rsidR="00896DA1" w:rsidRPr="00800F67">
        <w:rPr>
          <w:rFonts w:asciiTheme="minorEastAsia" w:hAnsiTheme="minorEastAsia" w:hint="eastAsia"/>
        </w:rPr>
        <w:t>」</w:t>
      </w:r>
      <w:r w:rsidRPr="00800F67">
        <w:rPr>
          <w:rFonts w:asciiTheme="minorEastAsia" w:hAnsiTheme="minorEastAsia" w:hint="eastAsia"/>
        </w:rPr>
        <w:t>既然是</w:t>
      </w:r>
      <w:r w:rsidR="00896DA1" w:rsidRPr="00800F67">
        <w:rPr>
          <w:rFonts w:asciiTheme="minorEastAsia" w:hAnsiTheme="minorEastAsia" w:hint="eastAsia"/>
        </w:rPr>
        <w:t>賴揆喊出的</w:t>
      </w:r>
      <w:r w:rsidRPr="00800F67">
        <w:rPr>
          <w:rFonts w:asciiTheme="minorEastAsia" w:hAnsiTheme="minorEastAsia" w:hint="eastAsia"/>
        </w:rPr>
        <w:t>明</w:t>
      </w:r>
      <w:r w:rsidR="00932B71" w:rsidRPr="00800F67">
        <w:rPr>
          <w:rFonts w:asciiTheme="minorEastAsia" w:hAnsiTheme="minorEastAsia" w:hint="eastAsia"/>
        </w:rPr>
        <w:t>訂政策，</w:t>
      </w:r>
      <w:r w:rsidR="00896DA1" w:rsidRPr="00800F67">
        <w:rPr>
          <w:rFonts w:asciiTheme="minorEastAsia" w:hAnsiTheme="minorEastAsia" w:hint="eastAsia"/>
        </w:rPr>
        <w:t>政府</w:t>
      </w:r>
      <w:r w:rsidR="00932B71" w:rsidRPr="00800F67">
        <w:rPr>
          <w:rFonts w:asciiTheme="minorEastAsia" w:hAnsiTheme="minorEastAsia" w:hint="eastAsia"/>
        </w:rPr>
        <w:t>就不該有此種</w:t>
      </w:r>
      <w:r w:rsidR="000923F6" w:rsidRPr="00800F67">
        <w:rPr>
          <w:rFonts w:asciiTheme="minorEastAsia" w:hAnsiTheme="minorEastAsia" w:hint="eastAsia"/>
        </w:rPr>
        <w:t>「</w:t>
      </w:r>
      <w:r w:rsidR="00932B71" w:rsidRPr="00800F67">
        <w:rPr>
          <w:rFonts w:asciiTheme="minorEastAsia" w:hAnsiTheme="minorEastAsia" w:hint="eastAsia"/>
        </w:rPr>
        <w:t>小動作</w:t>
      </w:r>
      <w:r w:rsidR="000923F6" w:rsidRPr="00800F67">
        <w:rPr>
          <w:rFonts w:asciiTheme="minorEastAsia" w:hAnsiTheme="minorEastAsia" w:hint="eastAsia"/>
        </w:rPr>
        <w:t>」</w:t>
      </w:r>
      <w:r w:rsidR="00932B71" w:rsidRPr="00800F67">
        <w:rPr>
          <w:rFonts w:asciiTheme="minorEastAsia" w:hAnsiTheme="minorEastAsia" w:hint="eastAsia"/>
        </w:rPr>
        <w:t>，讓教育人員的薪給沒有等比提升</w:t>
      </w:r>
      <w:r w:rsidR="00896DA1" w:rsidRPr="00800F67">
        <w:rPr>
          <w:rFonts w:asciiTheme="minorEastAsia" w:hAnsiTheme="minorEastAsia" w:hint="eastAsia"/>
        </w:rPr>
        <w:t>，也不該讓有群體未調整達3%</w:t>
      </w:r>
      <w:r w:rsidR="00932B71" w:rsidRPr="00800F67">
        <w:rPr>
          <w:rFonts w:asciiTheme="minorEastAsia" w:hAnsiTheme="minorEastAsia" w:hint="eastAsia"/>
        </w:rPr>
        <w:t>。</w:t>
      </w:r>
    </w:p>
    <w:p w14:paraId="264663AD" w14:textId="77777777" w:rsidR="000923F6" w:rsidRPr="00800F67" w:rsidRDefault="000923F6">
      <w:pPr>
        <w:rPr>
          <w:rFonts w:asciiTheme="minorEastAsia" w:hAnsiTheme="minorEastAsia"/>
        </w:rPr>
      </w:pPr>
    </w:p>
    <w:p w14:paraId="756A9EBD" w14:textId="77777777" w:rsidR="0000213F" w:rsidRPr="00800F67" w:rsidRDefault="004B02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何況</w:t>
      </w:r>
      <w:r w:rsidR="00932B71" w:rsidRPr="00800F67">
        <w:rPr>
          <w:rFonts w:asciiTheme="minorEastAsia" w:hAnsiTheme="minorEastAsia" w:hint="eastAsia"/>
        </w:rPr>
        <w:t>，距離前一次</w:t>
      </w:r>
      <w:r w:rsidR="00896DA1" w:rsidRPr="00800F67">
        <w:rPr>
          <w:rFonts w:asciiTheme="minorEastAsia" w:hAnsiTheme="minorEastAsia" w:hint="eastAsia"/>
        </w:rPr>
        <w:t>公教</w:t>
      </w:r>
      <w:r w:rsidR="00932B71" w:rsidRPr="00800F67">
        <w:rPr>
          <w:rFonts w:asciiTheme="minorEastAsia" w:hAnsiTheme="minorEastAsia" w:hint="eastAsia"/>
        </w:rPr>
        <w:t>人員加薪的2011年，</w:t>
      </w:r>
      <w:r w:rsidR="006107F9">
        <w:rPr>
          <w:rFonts w:asciiTheme="minorEastAsia" w:hAnsiTheme="minorEastAsia" w:hint="eastAsia"/>
        </w:rPr>
        <w:t>已7年未調整。</w:t>
      </w:r>
      <w:r w:rsidR="00932B71" w:rsidRPr="00800F67">
        <w:rPr>
          <w:rFonts w:asciiTheme="minorEastAsia" w:hAnsiTheme="minorEastAsia" w:hint="eastAsia"/>
        </w:rPr>
        <w:t>7年間</w:t>
      </w:r>
      <w:r w:rsidR="00896DA1" w:rsidRPr="00800F67">
        <w:rPr>
          <w:rFonts w:asciiTheme="minorEastAsia" w:hAnsiTheme="minorEastAsia" w:hint="eastAsia"/>
        </w:rPr>
        <w:t>我國</w:t>
      </w:r>
      <w:r w:rsidR="00932B71" w:rsidRPr="00800F67">
        <w:rPr>
          <w:rFonts w:asciiTheme="minorEastAsia" w:hAnsiTheme="minorEastAsia" w:hint="eastAsia"/>
        </w:rPr>
        <w:t>消費者物價指數</w:t>
      </w:r>
      <w:r w:rsidR="00896DA1" w:rsidRPr="00800F67">
        <w:rPr>
          <w:rFonts w:asciiTheme="minorEastAsia" w:hAnsiTheme="minorEastAsia" w:hint="eastAsia"/>
        </w:rPr>
        <w:t>（CPI）</w:t>
      </w:r>
      <w:r w:rsidR="00932B71" w:rsidRPr="00800F67">
        <w:rPr>
          <w:rFonts w:asciiTheme="minorEastAsia" w:hAnsiTheme="minorEastAsia" w:hint="eastAsia"/>
        </w:rPr>
        <w:t>已增加了7.5%之多，全體教育人員比照正教授等級調薪達6.6～8.7%</w:t>
      </w:r>
      <w:r w:rsidR="007252C4" w:rsidRPr="00800F67">
        <w:rPr>
          <w:rFonts w:asciiTheme="minorEastAsia" w:hAnsiTheme="minorEastAsia" w:hint="eastAsia"/>
        </w:rPr>
        <w:t>（平均約8%）</w:t>
      </w:r>
      <w:r w:rsidR="00932B71" w:rsidRPr="00800F67">
        <w:rPr>
          <w:rFonts w:asciiTheme="minorEastAsia" w:hAnsiTheme="minorEastAsia" w:hint="eastAsia"/>
        </w:rPr>
        <w:t>，也才只是勉強追</w:t>
      </w:r>
      <w:r w:rsidR="00155306" w:rsidRPr="00800F67">
        <w:rPr>
          <w:rFonts w:asciiTheme="minorEastAsia" w:hAnsiTheme="minorEastAsia" w:hint="eastAsia"/>
        </w:rPr>
        <w:t>上</w:t>
      </w:r>
      <w:r w:rsidR="00932B71" w:rsidRPr="00800F67">
        <w:rPr>
          <w:rFonts w:asciiTheme="minorEastAsia" w:hAnsiTheme="minorEastAsia" w:hint="eastAsia"/>
        </w:rPr>
        <w:t>物價指數調整，其實並未「實質調薪」；</w:t>
      </w:r>
      <w:r>
        <w:rPr>
          <w:rFonts w:asciiTheme="minorEastAsia" w:hAnsiTheme="minorEastAsia" w:hint="eastAsia"/>
        </w:rPr>
        <w:t>而</w:t>
      </w:r>
      <w:r w:rsidR="00932B71" w:rsidRPr="00800F67">
        <w:rPr>
          <w:rFonts w:asciiTheme="minorEastAsia" w:hAnsiTheme="minorEastAsia" w:hint="eastAsia"/>
        </w:rPr>
        <w:t>讓佔72%的大專教育人員此回調薪</w:t>
      </w:r>
      <w:r w:rsidR="00896DA1" w:rsidRPr="00800F67">
        <w:rPr>
          <w:rFonts w:asciiTheme="minorEastAsia" w:hAnsiTheme="minorEastAsia" w:hint="eastAsia"/>
        </w:rPr>
        <w:t>根本</w:t>
      </w:r>
      <w:r w:rsidR="00932B71" w:rsidRPr="00800F67">
        <w:rPr>
          <w:rFonts w:asciiTheme="minorEastAsia" w:hAnsiTheme="minorEastAsia" w:hint="eastAsia"/>
        </w:rPr>
        <w:t>未達3%，形同讓其</w:t>
      </w:r>
      <w:r w:rsidR="00896DA1" w:rsidRPr="00800F67">
        <w:rPr>
          <w:rFonts w:asciiTheme="minorEastAsia" w:hAnsiTheme="minorEastAsia" w:hint="eastAsia"/>
        </w:rPr>
        <w:t>實質</w:t>
      </w:r>
      <w:r w:rsidR="00932B71" w:rsidRPr="00800F67">
        <w:rPr>
          <w:rFonts w:asciiTheme="minorEastAsia" w:hAnsiTheme="minorEastAsia" w:hint="eastAsia"/>
        </w:rPr>
        <w:t>薪給倒退！</w:t>
      </w:r>
      <w:r w:rsidR="007252C4" w:rsidRPr="00800F67">
        <w:rPr>
          <w:rFonts w:asciiTheme="minorEastAsia" w:hAnsiTheme="minorEastAsia" w:hint="eastAsia"/>
        </w:rPr>
        <w:t>（參照</w:t>
      </w:r>
      <w:r w:rsidR="00800F67" w:rsidRPr="00800F67">
        <w:rPr>
          <w:rFonts w:asciiTheme="minorEastAsia" w:hAnsiTheme="minorEastAsia" w:hint="eastAsia"/>
        </w:rPr>
        <w:t>圖</w:t>
      </w:r>
      <w:r w:rsidR="007252C4" w:rsidRPr="00800F67">
        <w:rPr>
          <w:rFonts w:asciiTheme="minorEastAsia" w:hAnsiTheme="minorEastAsia" w:hint="eastAsia"/>
        </w:rPr>
        <w:t>一）</w:t>
      </w:r>
    </w:p>
    <w:p w14:paraId="1658B006" w14:textId="77777777" w:rsidR="00CF4E69" w:rsidRPr="00800F67" w:rsidRDefault="00CF4E69">
      <w:pPr>
        <w:rPr>
          <w:rFonts w:asciiTheme="minorEastAsia" w:hAnsiTheme="minorEastAsia"/>
        </w:rPr>
      </w:pPr>
    </w:p>
    <w:p w14:paraId="6365974A" w14:textId="77777777" w:rsidR="000923F6" w:rsidRPr="00800F67" w:rsidRDefault="007252C4">
      <w:pPr>
        <w:rPr>
          <w:rFonts w:asciiTheme="minorEastAsia" w:hAnsiTheme="minorEastAsia"/>
        </w:rPr>
      </w:pPr>
      <w:r w:rsidRPr="00800F6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42E33" wp14:editId="346D36B1">
                <wp:simplePos x="0" y="0"/>
                <wp:positionH relativeFrom="column">
                  <wp:posOffset>42062</wp:posOffset>
                </wp:positionH>
                <wp:positionV relativeFrom="paragraph">
                  <wp:posOffset>1060704</wp:posOffset>
                </wp:positionV>
                <wp:extent cx="1492301" cy="782726"/>
                <wp:effectExtent l="0" t="0" r="1270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01" cy="782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C96C" w14:textId="77777777" w:rsidR="000041C7" w:rsidRDefault="000041C7" w:rsidP="007252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歷年調整幅度</w:t>
                            </w:r>
                          </w:p>
                          <w:p w14:paraId="2D9E1CC3" w14:textId="77777777" w:rsidR="000041C7" w:rsidRPr="007252C4" w:rsidRDefault="00004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52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（以</w:t>
                            </w:r>
                            <w:r w:rsidRPr="007252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2011</w:t>
                            </w:r>
                            <w:r w:rsidRPr="007252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7252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7252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月指數為</w:t>
                            </w:r>
                            <w:r w:rsidRPr="007252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</w:t>
                            </w:r>
                            <w:r w:rsidRPr="007252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3pt;margin-top:83.5pt;width:117.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" strokecolor="white [3212]">
                <v:textbox>
                  <w:txbxContent>
                    <w:p w:rsidR="000041C7" w:rsidRDefault="000041C7" w:rsidP="007252C4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歷年調整幅度</w:t>
                      </w:r>
                    </w:p>
                    <w:p w:rsidR="000041C7" w:rsidRPr="007252C4" w:rsidRDefault="000041C7">
                      <w:pPr>
                        <w:rPr>
                          <w:sz w:val="16"/>
                          <w:szCs w:val="16"/>
                        </w:rPr>
                      </w:pPr>
                      <w:r w:rsidRPr="007252C4">
                        <w:rPr>
                          <w:rFonts w:hint="eastAsia"/>
                          <w:sz w:val="16"/>
                          <w:szCs w:val="16"/>
                        </w:rPr>
                        <w:t>（以</w:t>
                      </w:r>
                      <w:r w:rsidRPr="007252C4">
                        <w:rPr>
                          <w:rFonts w:hint="eastAsia"/>
                          <w:sz w:val="16"/>
                          <w:szCs w:val="16"/>
                        </w:rPr>
                        <w:t>2011</w:t>
                      </w:r>
                      <w:r w:rsidRPr="007252C4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7252C4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7252C4">
                        <w:rPr>
                          <w:rFonts w:hint="eastAsia"/>
                          <w:sz w:val="16"/>
                          <w:szCs w:val="16"/>
                        </w:rPr>
                        <w:t>月指數為</w:t>
                      </w:r>
                      <w:r w:rsidRPr="007252C4">
                        <w:rPr>
                          <w:rFonts w:hint="eastAsia"/>
                          <w:sz w:val="16"/>
                          <w:szCs w:val="16"/>
                        </w:rPr>
                        <w:t>100</w:t>
                      </w:r>
                      <w:r w:rsidRPr="007252C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923F6" w:rsidRPr="00800F67">
        <w:rPr>
          <w:rFonts w:asciiTheme="minorEastAsia" w:hAnsiTheme="minorEastAsia" w:hint="eastAsia"/>
          <w:noProof/>
        </w:rPr>
        <w:drawing>
          <wp:inline distT="0" distB="0" distL="0" distR="0" wp14:anchorId="5CD7E7CF" wp14:editId="61E4E34A">
            <wp:extent cx="5274310" cy="3076575"/>
            <wp:effectExtent l="0" t="0" r="2159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69EC2A" w14:textId="77777777" w:rsidR="000923F6" w:rsidRPr="006107F9" w:rsidRDefault="006107F9" w:rsidP="006107F9">
      <w:pPr>
        <w:jc w:val="right"/>
        <w:rPr>
          <w:rFonts w:asciiTheme="minorEastAsia" w:hAnsiTheme="minorEastAsia"/>
          <w:sz w:val="20"/>
          <w:szCs w:val="20"/>
        </w:rPr>
      </w:pPr>
      <w:r w:rsidRPr="006107F9">
        <w:rPr>
          <w:rFonts w:asciiTheme="minorEastAsia" w:hAnsiTheme="minorEastAsia" w:hint="eastAsia"/>
          <w:sz w:val="20"/>
          <w:szCs w:val="20"/>
        </w:rPr>
        <w:t>資料來源：中華民國統計資訊網、行政院。整理、製圖：台灣高等教育產業工會</w:t>
      </w:r>
    </w:p>
    <w:p w14:paraId="3995F1E2" w14:textId="77777777" w:rsidR="006107F9" w:rsidRPr="00800F67" w:rsidRDefault="006107F9">
      <w:pPr>
        <w:rPr>
          <w:rFonts w:asciiTheme="minorEastAsia" w:hAnsiTheme="minorEastAsia"/>
        </w:rPr>
      </w:pPr>
    </w:p>
    <w:p w14:paraId="486D30C9" w14:textId="77777777" w:rsidR="00932B71" w:rsidRPr="00800F67" w:rsidRDefault="00932B71">
      <w:pPr>
        <w:rPr>
          <w:rFonts w:asciiTheme="minorEastAsia" w:hAnsiTheme="minorEastAsia"/>
        </w:rPr>
      </w:pPr>
      <w:r w:rsidRPr="00800F67">
        <w:rPr>
          <w:rFonts w:asciiTheme="minorEastAsia" w:hAnsiTheme="minorEastAsia" w:hint="eastAsia"/>
        </w:rPr>
        <w:t>工會呼籲，行政院應立刻修正</w:t>
      </w:r>
      <w:r w:rsidR="00896DA1" w:rsidRPr="00800F67">
        <w:rPr>
          <w:rFonts w:asciiTheme="minorEastAsia" w:hAnsiTheme="minorEastAsia" w:hint="eastAsia"/>
        </w:rPr>
        <w:t>其發佈的</w:t>
      </w:r>
      <w:r w:rsidRPr="00800F67">
        <w:rPr>
          <w:rFonts w:asciiTheme="minorEastAsia" w:hAnsiTheme="minorEastAsia" w:hint="eastAsia"/>
        </w:rPr>
        <w:t>「大專校院教師學術研究加給表」，使全體大專院校教育人員都至少增加薪給3%，並朝向正教授級的6.6～8.7%調幅看齊，以追上物價調幅，維護教育人員的生活水準，並作為要求民間企業加薪的表率。</w:t>
      </w:r>
    </w:p>
    <w:p w14:paraId="1FF56603" w14:textId="77777777" w:rsidR="00932B71" w:rsidRDefault="00932B71">
      <w:pPr>
        <w:rPr>
          <w:rFonts w:asciiTheme="minorEastAsia" w:hAnsiTheme="minorEastAsia"/>
        </w:rPr>
      </w:pPr>
    </w:p>
    <w:p w14:paraId="24575683" w14:textId="77777777" w:rsidR="004B0281" w:rsidRDefault="004B02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如果連閣揆公開喊出的「加薪3%」都可以用種種微調來「偷斤減兩」，而且還遠遠落後於物價調幅；其他政府的總總施政又如何取信於民？又能拿什麼來道德呼籲企業加薪？</w:t>
      </w:r>
    </w:p>
    <w:p w14:paraId="459E95C3" w14:textId="77777777" w:rsidR="004B0281" w:rsidRDefault="004B0281">
      <w:pPr>
        <w:rPr>
          <w:rFonts w:asciiTheme="minorEastAsia" w:hAnsiTheme="minorEastAsia"/>
        </w:rPr>
      </w:pPr>
    </w:p>
    <w:p w14:paraId="6FE44030" w14:textId="77777777" w:rsidR="004B0281" w:rsidRDefault="004B02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勞動報酬的合理調整是社會正義的基礎。高教工會將逐一調查檢視各公立、私立大專院校之編制內、編制外教職員工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等群體的待遇狀況，並</w:t>
      </w:r>
      <w:r w:rsidR="0095768A">
        <w:rPr>
          <w:rFonts w:asciiTheme="minorEastAsia" w:hAnsiTheme="minorEastAsia" w:hint="eastAsia"/>
        </w:rPr>
        <w:t>為種種</w:t>
      </w:r>
      <w:r>
        <w:rPr>
          <w:rFonts w:asciiTheme="minorEastAsia" w:hAnsiTheme="minorEastAsia" w:hint="eastAsia"/>
        </w:rPr>
        <w:t>未獲合理待遇調整的群體發聲</w:t>
      </w:r>
      <w:r w:rsidR="0095768A">
        <w:rPr>
          <w:rFonts w:asciiTheme="minorEastAsia" w:hAnsiTheme="minorEastAsia" w:hint="eastAsia"/>
        </w:rPr>
        <w:t>，爭取回合理正當的薪資待遇。</w:t>
      </w:r>
    </w:p>
    <w:p w14:paraId="227F764A" w14:textId="77777777" w:rsidR="00CF4E69" w:rsidRPr="0095768A" w:rsidRDefault="00CF4E69">
      <w:pPr>
        <w:rPr>
          <w:rFonts w:asciiTheme="minorEastAsia" w:hAnsiTheme="minorEastAsia"/>
        </w:rPr>
      </w:pPr>
    </w:p>
    <w:p w14:paraId="0EE9AA4F" w14:textId="77777777" w:rsidR="00CF4E69" w:rsidRPr="00800F67" w:rsidRDefault="00CF4E69">
      <w:pPr>
        <w:rPr>
          <w:rFonts w:asciiTheme="minorEastAsia" w:hAnsiTheme="minorEastAsia"/>
        </w:rPr>
      </w:pPr>
      <w:r w:rsidRPr="00800F67">
        <w:rPr>
          <w:rFonts w:asciiTheme="minorEastAsia" w:hAnsiTheme="minorEastAsia" w:hint="eastAsia"/>
        </w:rPr>
        <w:t>新聞聯絡人</w:t>
      </w:r>
    </w:p>
    <w:p w14:paraId="35375FBB" w14:textId="77777777" w:rsidR="006107F9" w:rsidRDefault="00CF4E69">
      <w:pPr>
        <w:rPr>
          <w:rFonts w:asciiTheme="minorEastAsia" w:hAnsiTheme="minorEastAsia"/>
        </w:rPr>
      </w:pPr>
      <w:r w:rsidRPr="00800F67">
        <w:rPr>
          <w:rFonts w:asciiTheme="minorEastAsia" w:hAnsiTheme="minorEastAsia" w:hint="eastAsia"/>
        </w:rPr>
        <w:t>陳政亮（高教工會秘書長）0929359768</w:t>
      </w:r>
    </w:p>
    <w:p w14:paraId="28606A44" w14:textId="77777777" w:rsidR="00B42D8B" w:rsidRDefault="00B42D8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林柏</w:t>
      </w:r>
      <w:r>
        <w:rPr>
          <w:rFonts w:asciiTheme="minorEastAsia" w:hAnsiTheme="minorEastAsia" w:hint="eastAsia"/>
        </w:rPr>
        <w:t>儀</w:t>
      </w:r>
      <w:r>
        <w:rPr>
          <w:rFonts w:asciiTheme="minorEastAsia" w:hAnsiTheme="minorEastAsia"/>
        </w:rPr>
        <w:t>（高教工會組織部主任）0922796</w:t>
      </w:r>
      <w:r w:rsidRPr="00B42D8B">
        <w:rPr>
          <w:rFonts w:asciiTheme="minorEastAsia" w:hAnsiTheme="minorEastAsia"/>
        </w:rPr>
        <w:t>883</w:t>
      </w:r>
      <w:r w:rsidRPr="00B42D8B">
        <w:rPr>
          <w:rFonts w:asciiTheme="minorEastAsia" w:hAnsiTheme="minorEastAsia"/>
        </w:rPr>
        <w:t>‬</w:t>
      </w:r>
    </w:p>
    <w:p w14:paraId="15D98AAC" w14:textId="77777777" w:rsidR="006107F9" w:rsidRDefault="006107F9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5A9A566" w14:textId="77777777" w:rsidR="006107F9" w:rsidRDefault="006107F9" w:rsidP="006107F9">
      <w:pPr>
        <w:spacing w:line="0" w:lineRule="atLeast"/>
        <w:rPr>
          <w:rFonts w:ascii="Times New Roman" w:eastAsia="標楷體" w:hAnsi="Times New Roman" w:cs="Times New Roman"/>
          <w:szCs w:val="24"/>
        </w:rPr>
        <w:sectPr w:rsidR="006107F9" w:rsidSect="006107F9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683B2DBE" w14:textId="77777777" w:rsidR="006107F9" w:rsidRPr="00BF64BC" w:rsidRDefault="006107F9" w:rsidP="006107F9">
      <w:pPr>
        <w:spacing w:line="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附件一、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018</w:t>
      </w:r>
      <w:r>
        <w:rPr>
          <w:rFonts w:ascii="Times New Roman" w:eastAsia="標楷體" w:hAnsi="Times New Roman" w:cs="Times New Roman" w:hint="eastAsia"/>
          <w:szCs w:val="24"/>
        </w:rPr>
        <w:t>年高教專任教師</w:t>
      </w:r>
      <w:r w:rsidRPr="00BF64BC">
        <w:rPr>
          <w:rFonts w:ascii="Times New Roman" w:eastAsia="標楷體" w:hAnsi="Times New Roman" w:cs="Times New Roman" w:hint="eastAsia"/>
          <w:szCs w:val="24"/>
        </w:rPr>
        <w:t>各職級加薪</w:t>
      </w:r>
      <w:r>
        <w:rPr>
          <w:rFonts w:ascii="Times New Roman" w:eastAsia="標楷體" w:hAnsi="Times New Roman" w:cs="Times New Roman" w:hint="eastAsia"/>
          <w:szCs w:val="24"/>
        </w:rPr>
        <w:t>狀況</w:t>
      </w:r>
      <w:r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本俸</w:t>
      </w:r>
      <w:r>
        <w:rPr>
          <w:rFonts w:ascii="Times New Roman" w:eastAsia="標楷體" w:hAnsi="Times New Roman" w:cs="Times New Roman"/>
          <w:szCs w:val="24"/>
        </w:rPr>
        <w:t>與學術研究費</w:t>
      </w:r>
      <w:r>
        <w:rPr>
          <w:rFonts w:ascii="Times New Roman" w:eastAsia="標楷體" w:hAnsi="Times New Roman" w:cs="Times New Roman" w:hint="eastAsia"/>
          <w:szCs w:val="24"/>
        </w:rPr>
        <w:t>數額與比例</w:t>
      </w:r>
    </w:p>
    <w:p w14:paraId="4156BD3F" w14:textId="77777777" w:rsidR="006107F9" w:rsidRPr="00BF64BC" w:rsidRDefault="006107F9" w:rsidP="006107F9">
      <w:pPr>
        <w:spacing w:line="0" w:lineRule="atLeast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7"/>
        <w:tblW w:w="13887" w:type="dxa"/>
        <w:tblLayout w:type="fixed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7"/>
        <w:gridCol w:w="617"/>
        <w:gridCol w:w="992"/>
        <w:gridCol w:w="1134"/>
        <w:gridCol w:w="1134"/>
        <w:gridCol w:w="425"/>
        <w:gridCol w:w="425"/>
        <w:gridCol w:w="426"/>
        <w:gridCol w:w="1842"/>
        <w:gridCol w:w="1418"/>
        <w:gridCol w:w="1417"/>
        <w:gridCol w:w="1276"/>
        <w:gridCol w:w="1276"/>
      </w:tblGrid>
      <w:tr w:rsidR="006107F9" w:rsidRPr="00BF64BC" w14:paraId="1A21674B" w14:textId="77777777" w:rsidTr="000041C7">
        <w:tc>
          <w:tcPr>
            <w:tcW w:w="1505" w:type="dxa"/>
            <w:gridSpan w:val="4"/>
            <w:shd w:val="clear" w:color="auto" w:fill="DBE5F1" w:themeFill="accent1" w:themeFillTint="33"/>
          </w:tcPr>
          <w:p w14:paraId="37A6F0F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職級</w:t>
            </w:r>
          </w:p>
        </w:tc>
        <w:tc>
          <w:tcPr>
            <w:tcW w:w="617" w:type="dxa"/>
            <w:shd w:val="clear" w:color="auto" w:fill="DBE5F1" w:themeFill="accent1" w:themeFillTint="33"/>
          </w:tcPr>
          <w:p w14:paraId="1A769D0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俸額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372EDF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原來本俸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B1FB6B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加薪後本俸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14:paraId="0AB1FEE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數額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比例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698C84CF" w14:textId="77777777" w:rsidR="006107F9" w:rsidRPr="00BF64BC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原來學術研究費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+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加薪數額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=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新數額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比例</w:t>
            </w:r>
          </w:p>
        </w:tc>
        <w:tc>
          <w:tcPr>
            <w:tcW w:w="5387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ECFEF6F" w14:textId="77777777" w:rsidR="006107F9" w:rsidRPr="00BF64BC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不同職級加薪總額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比例</w:t>
            </w:r>
          </w:p>
        </w:tc>
      </w:tr>
      <w:tr w:rsidR="006107F9" w:rsidRPr="00BF64BC" w14:paraId="64ADDA3C" w14:textId="77777777" w:rsidTr="000041C7">
        <w:tc>
          <w:tcPr>
            <w:tcW w:w="376" w:type="dxa"/>
            <w:vMerge w:val="restart"/>
            <w:tcBorders>
              <w:right w:val="nil"/>
            </w:tcBorders>
          </w:tcPr>
          <w:p w14:paraId="0E84664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854E7A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C4778B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1CEEBAC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D813EC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教</w:t>
            </w:r>
          </w:p>
          <w:p w14:paraId="3251951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ED1231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授</w:t>
            </w:r>
          </w:p>
        </w:tc>
        <w:tc>
          <w:tcPr>
            <w:tcW w:w="1129" w:type="dxa"/>
            <w:gridSpan w:val="3"/>
            <w:vMerge w:val="restart"/>
            <w:tcBorders>
              <w:left w:val="nil"/>
            </w:tcBorders>
          </w:tcPr>
          <w:p w14:paraId="383C08B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72281D5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992" w:type="dxa"/>
          </w:tcPr>
          <w:p w14:paraId="07FA74E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53075</w:t>
            </w:r>
          </w:p>
        </w:tc>
        <w:tc>
          <w:tcPr>
            <w:tcW w:w="1134" w:type="dxa"/>
          </w:tcPr>
          <w:p w14:paraId="2E63F47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56930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00B0F0"/>
          </w:tcPr>
          <w:p w14:paraId="4BA69A0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3855/7.3%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  <w:right w:val="nil"/>
            </w:tcBorders>
          </w:tcPr>
          <w:p w14:paraId="516FD0BD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9A7C677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4759AF9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6EC710D4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65DD9511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教</w:t>
            </w:r>
          </w:p>
          <w:p w14:paraId="00AC975A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83719EE" w14:textId="77777777" w:rsidR="006107F9" w:rsidRPr="00BF64BC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授</w:t>
            </w:r>
          </w:p>
        </w:tc>
        <w:tc>
          <w:tcPr>
            <w:tcW w:w="2693" w:type="dxa"/>
            <w:gridSpan w:val="3"/>
            <w:vMerge w:val="restart"/>
            <w:tcBorders>
              <w:left w:val="nil"/>
              <w:right w:val="double" w:sz="4" w:space="0" w:color="auto"/>
            </w:tcBorders>
          </w:tcPr>
          <w:p w14:paraId="74EAAF2D" w14:textId="77777777" w:rsidR="006107F9" w:rsidRPr="00BF64BC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54450+</w:t>
            </w:r>
            <w:r w:rsidRPr="000D6285">
              <w:rPr>
                <w:rFonts w:ascii="Times New Roman" w:eastAsia="標楷體" w:hAnsi="Times New Roman" w:cs="Times New Roman"/>
                <w:sz w:val="16"/>
                <w:szCs w:val="16"/>
                <w:shd w:val="clear" w:color="auto" w:fill="00B0F0"/>
              </w:rPr>
              <w:t>5445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=59895/</w:t>
            </w:r>
            <w:r w:rsidRPr="00B93503">
              <w:rPr>
                <w:rFonts w:ascii="Times New Roman" w:eastAsia="標楷體" w:hAnsi="Times New Roman" w:cs="Times New Roman"/>
                <w:sz w:val="16"/>
                <w:szCs w:val="16"/>
                <w:shd w:val="clear" w:color="auto" w:fill="00B0F0"/>
              </w:rPr>
              <w:t>10.0%</w:t>
            </w:r>
          </w:p>
        </w:tc>
        <w:tc>
          <w:tcPr>
            <w:tcW w:w="4111" w:type="dxa"/>
            <w:gridSpan w:val="3"/>
            <w:vMerge w:val="restart"/>
            <w:tcBorders>
              <w:left w:val="double" w:sz="4" w:space="0" w:color="auto"/>
              <w:right w:val="nil"/>
            </w:tcBorders>
          </w:tcPr>
          <w:p w14:paraId="6A4F567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0B6177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9300/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  <w:shd w:val="clear" w:color="auto" w:fill="00B0F0"/>
              </w:rPr>
              <w:t>8.65%</w:t>
            </w:r>
          </w:p>
        </w:tc>
      </w:tr>
      <w:tr w:rsidR="006107F9" w:rsidRPr="00BF64BC" w14:paraId="49B44B46" w14:textId="77777777" w:rsidTr="000041C7">
        <w:tc>
          <w:tcPr>
            <w:tcW w:w="376" w:type="dxa"/>
            <w:vMerge/>
            <w:tcBorders>
              <w:right w:val="nil"/>
            </w:tcBorders>
          </w:tcPr>
          <w:p w14:paraId="7C9A12A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vMerge/>
            <w:tcBorders>
              <w:left w:val="nil"/>
            </w:tcBorders>
          </w:tcPr>
          <w:p w14:paraId="3DC97FD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7639E40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992" w:type="dxa"/>
          </w:tcPr>
          <w:p w14:paraId="25ED854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52410</w:t>
            </w:r>
          </w:p>
        </w:tc>
        <w:tc>
          <w:tcPr>
            <w:tcW w:w="1134" w:type="dxa"/>
          </w:tcPr>
          <w:p w14:paraId="241E0F1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53990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036B91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1580/3.0%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</w:tcPr>
          <w:p w14:paraId="3E67238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double" w:sz="4" w:space="0" w:color="auto"/>
            </w:tcBorders>
          </w:tcPr>
          <w:p w14:paraId="15CB0E7F" w14:textId="77777777" w:rsidR="006107F9" w:rsidRPr="00BF64BC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double" w:sz="4" w:space="0" w:color="auto"/>
              <w:right w:val="nil"/>
            </w:tcBorders>
          </w:tcPr>
          <w:p w14:paraId="29F7DBC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14:paraId="24B8341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7025/6.57%</w:t>
            </w:r>
          </w:p>
        </w:tc>
      </w:tr>
      <w:tr w:rsidR="006107F9" w:rsidRPr="00BF64BC" w14:paraId="2C4A05BB" w14:textId="77777777" w:rsidTr="000041C7">
        <w:tc>
          <w:tcPr>
            <w:tcW w:w="376" w:type="dxa"/>
            <w:vMerge/>
          </w:tcPr>
          <w:p w14:paraId="24B8973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right w:val="nil"/>
            </w:tcBorders>
          </w:tcPr>
          <w:p w14:paraId="588F050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1C1DAA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4ED259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18C7AFD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FB13BA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副</w:t>
            </w:r>
          </w:p>
          <w:p w14:paraId="0D4AA35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3681F3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教</w:t>
            </w:r>
          </w:p>
          <w:p w14:paraId="4C822AB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8AD8EF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授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nil"/>
            </w:tcBorders>
          </w:tcPr>
          <w:p w14:paraId="755357F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1961EF8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992" w:type="dxa"/>
          </w:tcPr>
          <w:p w14:paraId="5D2ED76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51745</w:t>
            </w:r>
          </w:p>
        </w:tc>
        <w:tc>
          <w:tcPr>
            <w:tcW w:w="1134" w:type="dxa"/>
          </w:tcPr>
          <w:p w14:paraId="690A373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53305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7F5776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1560/3.0%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EF1666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E5DFEC" w:themeFill="accent4" w:themeFillTint="33"/>
          </w:tcPr>
          <w:p w14:paraId="7DF27706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59CD19D0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C642B7D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19E5159B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47AA1D2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副</w:t>
            </w:r>
          </w:p>
          <w:p w14:paraId="6F9EA5D7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44D1DEB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教</w:t>
            </w:r>
          </w:p>
          <w:p w14:paraId="0D81A11B" w14:textId="77777777" w:rsidR="006107F9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10E4F6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授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double" w:sz="4" w:space="0" w:color="auto"/>
            </w:tcBorders>
            <w:shd w:val="clear" w:color="auto" w:fill="E5DFEC" w:themeFill="accent4" w:themeFillTint="33"/>
          </w:tcPr>
          <w:p w14:paraId="5D088D36" w14:textId="77777777" w:rsidR="006107F9" w:rsidRPr="00BF64BC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45250+</w:t>
            </w:r>
            <w:r w:rsidRPr="000D6285">
              <w:rPr>
                <w:rFonts w:ascii="Times New Roman" w:eastAsia="標楷體" w:hAnsi="Times New Roman" w:cs="Times New Roman"/>
                <w:sz w:val="16"/>
                <w:szCs w:val="16"/>
                <w:shd w:val="clear" w:color="auto" w:fill="00B0F0"/>
              </w:rPr>
              <w:t>980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=46230/2.2%</w:t>
            </w:r>
          </w:p>
        </w:tc>
        <w:tc>
          <w:tcPr>
            <w:tcW w:w="2835" w:type="dxa"/>
            <w:gridSpan w:val="2"/>
            <w:vMerge w:val="restart"/>
            <w:tcBorders>
              <w:left w:val="double" w:sz="4" w:space="0" w:color="auto"/>
              <w:right w:val="nil"/>
            </w:tcBorders>
            <w:shd w:val="clear" w:color="auto" w:fill="E5DFEC" w:themeFill="accent4" w:themeFillTint="33"/>
          </w:tcPr>
          <w:p w14:paraId="2C1E415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E5DFEC" w:themeFill="accent4" w:themeFillTint="33"/>
          </w:tcPr>
          <w:p w14:paraId="1FBC54B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2540/2.62%</w:t>
            </w:r>
          </w:p>
        </w:tc>
        <w:tc>
          <w:tcPr>
            <w:tcW w:w="1276" w:type="dxa"/>
          </w:tcPr>
          <w:p w14:paraId="170B6C6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7005/6.60%</w:t>
            </w:r>
          </w:p>
        </w:tc>
      </w:tr>
      <w:tr w:rsidR="006107F9" w:rsidRPr="00BF64BC" w14:paraId="723163FE" w14:textId="77777777" w:rsidTr="000041C7">
        <w:tc>
          <w:tcPr>
            <w:tcW w:w="376" w:type="dxa"/>
            <w:vMerge/>
          </w:tcPr>
          <w:p w14:paraId="2ECAA2C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right w:val="nil"/>
            </w:tcBorders>
          </w:tcPr>
          <w:p w14:paraId="2ED2E5C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6BC62CC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2CB0C98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992" w:type="dxa"/>
          </w:tcPr>
          <w:p w14:paraId="1530F86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49745</w:t>
            </w:r>
          </w:p>
        </w:tc>
        <w:tc>
          <w:tcPr>
            <w:tcW w:w="1134" w:type="dxa"/>
          </w:tcPr>
          <w:p w14:paraId="12B704A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51250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23B389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1505/3.0%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04F6C73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E5DFEC" w:themeFill="accent4" w:themeFillTint="33"/>
          </w:tcPr>
          <w:p w14:paraId="0A45FC2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E5DFEC" w:themeFill="accent4" w:themeFillTint="33"/>
          </w:tcPr>
          <w:p w14:paraId="39E61B5C" w14:textId="77777777" w:rsidR="006107F9" w:rsidRPr="00BF64BC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E5DFEC" w:themeFill="accent4" w:themeFillTint="33"/>
          </w:tcPr>
          <w:p w14:paraId="4BB47A0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E5DFEC" w:themeFill="accent4" w:themeFillTint="33"/>
          </w:tcPr>
          <w:p w14:paraId="65BB388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2485/2.62%</w:t>
            </w:r>
          </w:p>
        </w:tc>
        <w:tc>
          <w:tcPr>
            <w:tcW w:w="1276" w:type="dxa"/>
          </w:tcPr>
          <w:p w14:paraId="5A75BF1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6950/6.67%</w:t>
            </w:r>
          </w:p>
        </w:tc>
      </w:tr>
      <w:tr w:rsidR="006107F9" w:rsidRPr="00BF64BC" w14:paraId="1D21E2EF" w14:textId="77777777" w:rsidTr="000041C7">
        <w:tc>
          <w:tcPr>
            <w:tcW w:w="376" w:type="dxa"/>
            <w:vMerge/>
          </w:tcPr>
          <w:p w14:paraId="6BD60AC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0D681F6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right w:val="nil"/>
            </w:tcBorders>
          </w:tcPr>
          <w:p w14:paraId="6E8890C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827C3A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88A3DC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6A70E02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753D82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6988C3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助</w:t>
            </w:r>
          </w:p>
          <w:p w14:paraId="1548D6D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667491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理</w:t>
            </w:r>
          </w:p>
          <w:p w14:paraId="636C577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E64551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教</w:t>
            </w:r>
          </w:p>
          <w:p w14:paraId="7A20F33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5D1ECCE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授</w:t>
            </w:r>
          </w:p>
        </w:tc>
        <w:tc>
          <w:tcPr>
            <w:tcW w:w="377" w:type="dxa"/>
            <w:tcBorders>
              <w:left w:val="nil"/>
            </w:tcBorders>
          </w:tcPr>
          <w:p w14:paraId="01A8CBC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439DB0A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92" w:type="dxa"/>
          </w:tcPr>
          <w:p w14:paraId="138E2AE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48415</w:t>
            </w:r>
          </w:p>
        </w:tc>
        <w:tc>
          <w:tcPr>
            <w:tcW w:w="1134" w:type="dxa"/>
          </w:tcPr>
          <w:p w14:paraId="5011462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49875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BDE6C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1460/3.0%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D4BC74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4F29885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14:paraId="07619595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5B42C47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C136DA5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0622238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FC77890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2690B53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助</w:t>
            </w:r>
          </w:p>
          <w:p w14:paraId="02E43D4E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9109E20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理</w:t>
            </w:r>
          </w:p>
          <w:p w14:paraId="5D8EDB5C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C824FEC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教</w:t>
            </w:r>
          </w:p>
          <w:p w14:paraId="3E40F6CA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5D4865FE" w14:textId="77777777" w:rsidR="006107F9" w:rsidRPr="00BF64BC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授</w:t>
            </w:r>
          </w:p>
        </w:tc>
        <w:tc>
          <w:tcPr>
            <w:tcW w:w="1842" w:type="dxa"/>
            <w:tcBorders>
              <w:left w:val="nil"/>
              <w:right w:val="double" w:sz="4" w:space="0" w:color="auto"/>
            </w:tcBorders>
          </w:tcPr>
          <w:p w14:paraId="3D7DAD78" w14:textId="77777777" w:rsidR="006107F9" w:rsidRPr="00BF64BC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39555+</w:t>
            </w:r>
            <w:r w:rsidRPr="000D6285">
              <w:rPr>
                <w:rFonts w:ascii="Times New Roman" w:eastAsia="標楷體" w:hAnsi="Times New Roman" w:cs="Times New Roman"/>
                <w:sz w:val="16"/>
                <w:szCs w:val="16"/>
                <w:shd w:val="clear" w:color="auto" w:fill="00B0F0"/>
              </w:rPr>
              <w:t>900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=40455/2.3%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1974B98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DFE16D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2360/2.68%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07BFACD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2440/2.61%</w:t>
            </w:r>
          </w:p>
        </w:tc>
        <w:tc>
          <w:tcPr>
            <w:tcW w:w="1276" w:type="dxa"/>
          </w:tcPr>
          <w:p w14:paraId="5F56B9C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6905/6.71%</w:t>
            </w:r>
          </w:p>
        </w:tc>
      </w:tr>
      <w:tr w:rsidR="006107F9" w:rsidRPr="00BF64BC" w14:paraId="65011048" w14:textId="77777777" w:rsidTr="000041C7">
        <w:tc>
          <w:tcPr>
            <w:tcW w:w="376" w:type="dxa"/>
            <w:vMerge/>
          </w:tcPr>
          <w:p w14:paraId="380BA3E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319C57F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55E6B62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</w:tcPr>
          <w:p w14:paraId="0EE5FA5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7C09F3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3A9A84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EA9595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1D595F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9E69DAF" w14:textId="77777777" w:rsidR="006107F9" w:rsidRPr="00BF64BC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1F3C3FE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656D79E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講</w:t>
            </w:r>
          </w:p>
          <w:p w14:paraId="33E9A69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5A8163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C691A6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726431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1E7F41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師</w:t>
            </w:r>
          </w:p>
        </w:tc>
        <w:tc>
          <w:tcPr>
            <w:tcW w:w="617" w:type="dxa"/>
          </w:tcPr>
          <w:p w14:paraId="3A8BD51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992" w:type="dxa"/>
          </w:tcPr>
          <w:p w14:paraId="2179EEA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47080</w:t>
            </w:r>
          </w:p>
        </w:tc>
        <w:tc>
          <w:tcPr>
            <w:tcW w:w="1134" w:type="dxa"/>
          </w:tcPr>
          <w:p w14:paraId="5DC568B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48505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94F0B7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1425/3.0%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6877F66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5D339D6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02AAB80" w14:textId="77777777" w:rsidR="006107F9" w:rsidRPr="00BF64BC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200205A0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31145+</w:t>
            </w:r>
            <w:r w:rsidRPr="000D6285">
              <w:rPr>
                <w:rFonts w:ascii="Times New Roman" w:eastAsia="標楷體" w:hAnsi="Times New Roman" w:cs="Times New Roman"/>
                <w:sz w:val="16"/>
                <w:szCs w:val="16"/>
                <w:shd w:val="clear" w:color="auto" w:fill="00B0F0"/>
              </w:rPr>
              <w:t>780</w:t>
            </w: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=31925/2.5%</w:t>
            </w:r>
          </w:p>
          <w:p w14:paraId="089E807A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3B38862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5983FD0E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78FD9AE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249EA8A7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5B8CA3C" w14:textId="77777777" w:rsidR="006107F9" w:rsidRDefault="006107F9" w:rsidP="000041C7">
            <w:pPr>
              <w:spacing w:line="0" w:lineRule="atLeast"/>
              <w:ind w:right="3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4D334925" w14:textId="77777777" w:rsidR="006107F9" w:rsidRDefault="006107F9" w:rsidP="000041C7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講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</w:p>
          <w:p w14:paraId="4389F944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1F2C83F7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09CF618B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73DDB78F" w14:textId="77777777" w:rsidR="006107F9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1BD7CD48" w14:textId="77777777" w:rsidR="006107F9" w:rsidRPr="00BF64BC" w:rsidRDefault="006107F9" w:rsidP="000041C7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師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40EAFF0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2205/2.82%</w:t>
            </w:r>
          </w:p>
        </w:tc>
        <w:tc>
          <w:tcPr>
            <w:tcW w:w="1417" w:type="dxa"/>
          </w:tcPr>
          <w:p w14:paraId="1246680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2325/2.68%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32121FD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2405/2.60%</w:t>
            </w:r>
          </w:p>
        </w:tc>
        <w:tc>
          <w:tcPr>
            <w:tcW w:w="1276" w:type="dxa"/>
          </w:tcPr>
          <w:p w14:paraId="7C5BB37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6870/6.77%</w:t>
            </w:r>
          </w:p>
        </w:tc>
      </w:tr>
      <w:tr w:rsidR="006107F9" w:rsidRPr="00BF64BC" w14:paraId="39192BC1" w14:textId="77777777" w:rsidTr="000041C7">
        <w:tc>
          <w:tcPr>
            <w:tcW w:w="376" w:type="dxa"/>
            <w:vMerge/>
          </w:tcPr>
          <w:p w14:paraId="74DA869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7E69AF3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3774782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0A3129B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1B18F20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14:paraId="270A772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45750</w:t>
            </w:r>
          </w:p>
        </w:tc>
        <w:tc>
          <w:tcPr>
            <w:tcW w:w="1134" w:type="dxa"/>
          </w:tcPr>
          <w:p w14:paraId="578AB16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47130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EC4446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1380/3.0%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4A8240D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01FF903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444D5D3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66FDAD6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2CF2D9A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2160/2.81%</w:t>
            </w:r>
          </w:p>
        </w:tc>
        <w:tc>
          <w:tcPr>
            <w:tcW w:w="1417" w:type="dxa"/>
          </w:tcPr>
          <w:p w14:paraId="7B95D30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2280/2.67%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3DCEC10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2360/2.60%</w:t>
            </w:r>
          </w:p>
        </w:tc>
        <w:tc>
          <w:tcPr>
            <w:tcW w:w="1276" w:type="dxa"/>
          </w:tcPr>
          <w:p w14:paraId="3FD0675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6825/6.81%</w:t>
            </w:r>
          </w:p>
        </w:tc>
      </w:tr>
      <w:tr w:rsidR="006107F9" w:rsidRPr="00BF64BC" w14:paraId="552A18CC" w14:textId="77777777" w:rsidTr="000041C7">
        <w:tc>
          <w:tcPr>
            <w:tcW w:w="376" w:type="dxa"/>
            <w:vMerge/>
          </w:tcPr>
          <w:p w14:paraId="15B058F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2951CB0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41E5C5F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26E7B3E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21EE4AD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992" w:type="dxa"/>
          </w:tcPr>
          <w:p w14:paraId="4DBAC9D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44420</w:t>
            </w:r>
          </w:p>
        </w:tc>
        <w:tc>
          <w:tcPr>
            <w:tcW w:w="1134" w:type="dxa"/>
          </w:tcPr>
          <w:p w14:paraId="11DF0B5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45760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4C3ADB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1340/3.0%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51EC823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794CB3B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0E98ADE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125573E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734D3D9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2120/2.81%</w:t>
            </w:r>
          </w:p>
        </w:tc>
        <w:tc>
          <w:tcPr>
            <w:tcW w:w="1417" w:type="dxa"/>
          </w:tcPr>
          <w:p w14:paraId="7540924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2240/2.67%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4939D36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2320/2.59%</w:t>
            </w:r>
          </w:p>
        </w:tc>
        <w:tc>
          <w:tcPr>
            <w:tcW w:w="1276" w:type="dxa"/>
          </w:tcPr>
          <w:p w14:paraId="4A7066F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6785/6.86%</w:t>
            </w:r>
          </w:p>
        </w:tc>
      </w:tr>
      <w:tr w:rsidR="006107F9" w:rsidRPr="00BF64BC" w14:paraId="33EDD637" w14:textId="77777777" w:rsidTr="000041C7">
        <w:tc>
          <w:tcPr>
            <w:tcW w:w="376" w:type="dxa"/>
            <w:vMerge/>
          </w:tcPr>
          <w:p w14:paraId="4B061D8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44A6BE1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4BD69B1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0307D5E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5EA6135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2" w:type="dxa"/>
          </w:tcPr>
          <w:p w14:paraId="2441370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43085</w:t>
            </w:r>
          </w:p>
        </w:tc>
        <w:tc>
          <w:tcPr>
            <w:tcW w:w="1134" w:type="dxa"/>
          </w:tcPr>
          <w:p w14:paraId="74E884B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44390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7377E4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1305/3.0%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46F3322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7AD7878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39787C2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E3F99B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48F9E2F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2085/2.81%</w:t>
            </w:r>
          </w:p>
        </w:tc>
        <w:tc>
          <w:tcPr>
            <w:tcW w:w="1417" w:type="dxa"/>
          </w:tcPr>
          <w:p w14:paraId="3586035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2205/2.67%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713BDF7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2285/2.59%</w:t>
            </w:r>
          </w:p>
        </w:tc>
        <w:tc>
          <w:tcPr>
            <w:tcW w:w="1276" w:type="dxa"/>
          </w:tcPr>
          <w:p w14:paraId="20FA0DB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6750/6.92%</w:t>
            </w:r>
          </w:p>
        </w:tc>
      </w:tr>
      <w:tr w:rsidR="006107F9" w:rsidRPr="00BF64BC" w14:paraId="00159F42" w14:textId="77777777" w:rsidTr="000041C7">
        <w:tc>
          <w:tcPr>
            <w:tcW w:w="376" w:type="dxa"/>
            <w:vMerge/>
          </w:tcPr>
          <w:p w14:paraId="463FCB8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1870DCA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3CCECDB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64B78CE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70A61B9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992" w:type="dxa"/>
          </w:tcPr>
          <w:p w14:paraId="2F7D523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41755</w:t>
            </w:r>
          </w:p>
        </w:tc>
        <w:tc>
          <w:tcPr>
            <w:tcW w:w="1134" w:type="dxa"/>
          </w:tcPr>
          <w:p w14:paraId="75C8B4A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43015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FC7DB0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1260/3.0%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12ADD1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04704F4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639E897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40DAF2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2C04E86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2040/2.80%</w:t>
            </w:r>
          </w:p>
        </w:tc>
        <w:tc>
          <w:tcPr>
            <w:tcW w:w="1417" w:type="dxa"/>
          </w:tcPr>
          <w:p w14:paraId="53544F3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2160/2.66%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6470F49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2240/2.57%</w:t>
            </w:r>
          </w:p>
        </w:tc>
        <w:tc>
          <w:tcPr>
            <w:tcW w:w="1276" w:type="dxa"/>
          </w:tcPr>
          <w:p w14:paraId="5C63EA0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6705/6.97%</w:t>
            </w:r>
          </w:p>
        </w:tc>
      </w:tr>
      <w:tr w:rsidR="006107F9" w:rsidRPr="00BF64BC" w14:paraId="0302910B" w14:textId="77777777" w:rsidTr="000041C7">
        <w:tc>
          <w:tcPr>
            <w:tcW w:w="376" w:type="dxa"/>
            <w:vMerge/>
          </w:tcPr>
          <w:p w14:paraId="588B477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7242A68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01FB9D4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2CCC852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3D1E02E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14:paraId="4361B2C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40420</w:t>
            </w:r>
          </w:p>
        </w:tc>
        <w:tc>
          <w:tcPr>
            <w:tcW w:w="1134" w:type="dxa"/>
          </w:tcPr>
          <w:p w14:paraId="16136C5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41645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230BB8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1225/3.0%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2296BCB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0BD201A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1295963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0FAFB6B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3002C1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2005/2.80%</w:t>
            </w:r>
          </w:p>
        </w:tc>
        <w:tc>
          <w:tcPr>
            <w:tcW w:w="1417" w:type="dxa"/>
          </w:tcPr>
          <w:p w14:paraId="18A86A5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2125/2.66%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10053CD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2205/2.57%</w:t>
            </w:r>
          </w:p>
        </w:tc>
        <w:tc>
          <w:tcPr>
            <w:tcW w:w="1276" w:type="dxa"/>
          </w:tcPr>
          <w:p w14:paraId="33FCC44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6670/7.03%</w:t>
            </w:r>
          </w:p>
        </w:tc>
      </w:tr>
      <w:tr w:rsidR="006107F9" w:rsidRPr="00BF64BC" w14:paraId="06AC6B83" w14:textId="77777777" w:rsidTr="000041C7">
        <w:tc>
          <w:tcPr>
            <w:tcW w:w="376" w:type="dxa"/>
            <w:vMerge/>
            <w:tcBorders>
              <w:bottom w:val="single" w:sz="4" w:space="0" w:color="auto"/>
            </w:tcBorders>
          </w:tcPr>
          <w:p w14:paraId="1482FDC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</w:tcPr>
          <w:p w14:paraId="004EB0A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14:paraId="65DB129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206404B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3816BA8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992" w:type="dxa"/>
          </w:tcPr>
          <w:p w14:paraId="5AFD934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39090</w:t>
            </w:r>
          </w:p>
        </w:tc>
        <w:tc>
          <w:tcPr>
            <w:tcW w:w="1134" w:type="dxa"/>
          </w:tcPr>
          <w:p w14:paraId="4D08996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40270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DF3147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1180/3.0%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</w:tcPr>
          <w:p w14:paraId="5164C43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21C93C0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40112A5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6D923C3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1E1D30C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1960/2.79%</w:t>
            </w:r>
          </w:p>
        </w:tc>
        <w:tc>
          <w:tcPr>
            <w:tcW w:w="1417" w:type="dxa"/>
          </w:tcPr>
          <w:p w14:paraId="60E4DC4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2080/2.64%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46E4043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2160/2.56%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8252B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6625/7.08%</w:t>
            </w:r>
          </w:p>
        </w:tc>
      </w:tr>
      <w:tr w:rsidR="006107F9" w:rsidRPr="00BF64BC" w14:paraId="51D4FA18" w14:textId="77777777" w:rsidTr="000041C7">
        <w:tc>
          <w:tcPr>
            <w:tcW w:w="376" w:type="dxa"/>
            <w:vMerge w:val="restart"/>
            <w:shd w:val="clear" w:color="auto" w:fill="EEECE1" w:themeFill="background2"/>
          </w:tcPr>
          <w:p w14:paraId="1FA52E1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1EE54C3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5DA8E3F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333E77B6" w14:textId="77777777" w:rsidR="006107F9" w:rsidRPr="00BF64BC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E835A0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EEECE1" w:themeFill="background2"/>
          </w:tcPr>
          <w:p w14:paraId="1022BC3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1F9BE1B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3A2E67B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92" w:type="dxa"/>
          </w:tcPr>
          <w:p w14:paraId="214CDF1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36425</w:t>
            </w:r>
          </w:p>
        </w:tc>
        <w:tc>
          <w:tcPr>
            <w:tcW w:w="1134" w:type="dxa"/>
          </w:tcPr>
          <w:p w14:paraId="1D16935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37530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61FA70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1105/3.0%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shd w:val="clear" w:color="auto" w:fill="EEECE1" w:themeFill="background2"/>
          </w:tcPr>
          <w:p w14:paraId="0758A93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6F616B3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075BFA7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6EA3C7D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1C36A0E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1885/2.79%</w:t>
            </w:r>
          </w:p>
        </w:tc>
        <w:tc>
          <w:tcPr>
            <w:tcW w:w="1417" w:type="dxa"/>
            <w:shd w:val="clear" w:color="auto" w:fill="FFFFFF" w:themeFill="background1"/>
          </w:tcPr>
          <w:p w14:paraId="76C7AC6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2005/2.64%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652F1B7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2085/2.55%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5B3D182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7D75922D" w14:textId="77777777" w:rsidTr="000041C7">
        <w:tc>
          <w:tcPr>
            <w:tcW w:w="376" w:type="dxa"/>
            <w:vMerge/>
            <w:shd w:val="clear" w:color="auto" w:fill="EEECE1" w:themeFill="background2"/>
          </w:tcPr>
          <w:p w14:paraId="728B47B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44AAE3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EEECE1" w:themeFill="background2"/>
          </w:tcPr>
          <w:p w14:paraId="2009539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20D772E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046025F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992" w:type="dxa"/>
          </w:tcPr>
          <w:p w14:paraId="779C6B7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35425</w:t>
            </w:r>
          </w:p>
        </w:tc>
        <w:tc>
          <w:tcPr>
            <w:tcW w:w="1134" w:type="dxa"/>
          </w:tcPr>
          <w:p w14:paraId="46D370B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36500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8974CF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1075/3.0%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EEECE1" w:themeFill="background2"/>
          </w:tcPr>
          <w:p w14:paraId="1F711DB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518EAC5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697710F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17D217B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71E48E5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1855/2.79%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6592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1975/2.63%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080819F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2055/2.55%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14:paraId="39DA0EC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24F16C55" w14:textId="77777777" w:rsidTr="000041C7">
        <w:tc>
          <w:tcPr>
            <w:tcW w:w="376" w:type="dxa"/>
            <w:vMerge/>
            <w:shd w:val="clear" w:color="auto" w:fill="EEECE1" w:themeFill="background2"/>
          </w:tcPr>
          <w:p w14:paraId="2275B6C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18F259B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EEECE1" w:themeFill="background2"/>
          </w:tcPr>
          <w:p w14:paraId="2467D43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3E45E21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19FF02C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92" w:type="dxa"/>
          </w:tcPr>
          <w:p w14:paraId="6719E97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34430</w:t>
            </w:r>
          </w:p>
        </w:tc>
        <w:tc>
          <w:tcPr>
            <w:tcW w:w="1134" w:type="dxa"/>
          </w:tcPr>
          <w:p w14:paraId="681DCF3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35470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AA38D8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1040/3.0%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EEECE1" w:themeFill="background2"/>
          </w:tcPr>
          <w:p w14:paraId="4F7878D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E5DFEC" w:themeFill="accent4" w:themeFillTint="33"/>
          </w:tcPr>
          <w:p w14:paraId="5BC1787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2836962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12BA08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11BB0C2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1820/2.78%</w:t>
            </w:r>
          </w:p>
        </w:tc>
        <w:tc>
          <w:tcPr>
            <w:tcW w:w="1417" w:type="dxa"/>
            <w:shd w:val="clear" w:color="auto" w:fill="FFFFFF" w:themeFill="background1"/>
          </w:tcPr>
          <w:p w14:paraId="4FCE003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1940/2.62%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2CEB4C3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2020/2.54%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14:paraId="59D6EA9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6EADB55E" w14:textId="77777777" w:rsidTr="000041C7">
        <w:tc>
          <w:tcPr>
            <w:tcW w:w="376" w:type="dxa"/>
            <w:vMerge/>
            <w:shd w:val="clear" w:color="auto" w:fill="EEECE1" w:themeFill="background2"/>
          </w:tcPr>
          <w:p w14:paraId="5CD5C06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0F444E1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EEECE1" w:themeFill="background2"/>
          </w:tcPr>
          <w:p w14:paraId="4A73EA0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5BE5A7B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146018E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992" w:type="dxa"/>
          </w:tcPr>
          <w:p w14:paraId="45A7642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33430</w:t>
            </w:r>
          </w:p>
        </w:tc>
        <w:tc>
          <w:tcPr>
            <w:tcW w:w="1134" w:type="dxa"/>
          </w:tcPr>
          <w:p w14:paraId="41BAF68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34440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C906D4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1010/3.0%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shd w:val="clear" w:color="auto" w:fill="EEECE1" w:themeFill="background2"/>
          </w:tcPr>
          <w:p w14:paraId="0BBC837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A0C948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2FAA8AC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3C9BEE8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451AAE4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1790/2.77%</w:t>
            </w:r>
          </w:p>
        </w:tc>
        <w:tc>
          <w:tcPr>
            <w:tcW w:w="1417" w:type="dxa"/>
            <w:shd w:val="clear" w:color="auto" w:fill="FFFFFF" w:themeFill="background1"/>
          </w:tcPr>
          <w:p w14:paraId="2B9B94B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1910/2.62%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AA5AEB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1990/2.53%</w:t>
            </w:r>
          </w:p>
        </w:tc>
        <w:tc>
          <w:tcPr>
            <w:tcW w:w="1276" w:type="dxa"/>
            <w:vMerge/>
            <w:shd w:val="clear" w:color="auto" w:fill="EEECE1" w:themeFill="background2"/>
          </w:tcPr>
          <w:p w14:paraId="112C61B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3F71FC8F" w14:textId="77777777" w:rsidTr="000041C7">
        <w:tc>
          <w:tcPr>
            <w:tcW w:w="376" w:type="dxa"/>
            <w:vMerge/>
            <w:tcBorders>
              <w:right w:val="nil"/>
            </w:tcBorders>
            <w:shd w:val="clear" w:color="auto" w:fill="EEECE1" w:themeFill="background2"/>
          </w:tcPr>
          <w:p w14:paraId="1913DC1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left w:val="nil"/>
            </w:tcBorders>
            <w:shd w:val="clear" w:color="auto" w:fill="EEECE1" w:themeFill="background2"/>
          </w:tcPr>
          <w:p w14:paraId="29EE815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EEECE1" w:themeFill="background2"/>
          </w:tcPr>
          <w:p w14:paraId="3DE5E36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375150E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4599F5D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992" w:type="dxa"/>
          </w:tcPr>
          <w:p w14:paraId="3E78912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32430</w:t>
            </w:r>
          </w:p>
        </w:tc>
        <w:tc>
          <w:tcPr>
            <w:tcW w:w="1134" w:type="dxa"/>
          </w:tcPr>
          <w:p w14:paraId="3265FF9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33410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E0AAC4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980/3.0%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  <w:shd w:val="clear" w:color="auto" w:fill="EEECE1" w:themeFill="background2"/>
          </w:tcPr>
          <w:p w14:paraId="4A7F0B2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shd w:val="clear" w:color="auto" w:fill="EEECE1" w:themeFill="background2"/>
          </w:tcPr>
          <w:p w14:paraId="06DB092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1BFB8D1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1C60765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3BA97A7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1760/2.77%</w:t>
            </w:r>
          </w:p>
        </w:tc>
        <w:tc>
          <w:tcPr>
            <w:tcW w:w="1417" w:type="dxa"/>
            <w:shd w:val="clear" w:color="auto" w:fill="FFFFFF" w:themeFill="background1"/>
          </w:tcPr>
          <w:p w14:paraId="6FCB24C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1880/2.61%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EEECE1" w:themeFill="background2"/>
          </w:tcPr>
          <w:p w14:paraId="5F4EDD6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6F91979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35A42FB2" w14:textId="77777777" w:rsidTr="000041C7">
        <w:tc>
          <w:tcPr>
            <w:tcW w:w="376" w:type="dxa"/>
            <w:vMerge/>
            <w:tcBorders>
              <w:right w:val="nil"/>
            </w:tcBorders>
            <w:shd w:val="clear" w:color="auto" w:fill="EEECE1" w:themeFill="background2"/>
          </w:tcPr>
          <w:p w14:paraId="12F2DF7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  <w:shd w:val="clear" w:color="auto" w:fill="EEECE1" w:themeFill="background2"/>
          </w:tcPr>
          <w:p w14:paraId="0A7429E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EEECE1" w:themeFill="background2"/>
          </w:tcPr>
          <w:p w14:paraId="25777F6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74600E2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240CBA2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</w:tcPr>
          <w:p w14:paraId="174F247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31430</w:t>
            </w:r>
          </w:p>
        </w:tc>
        <w:tc>
          <w:tcPr>
            <w:tcW w:w="1134" w:type="dxa"/>
          </w:tcPr>
          <w:p w14:paraId="5237CEF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32385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20AACD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955/3.0%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  <w:shd w:val="clear" w:color="auto" w:fill="EEECE1" w:themeFill="background2"/>
          </w:tcPr>
          <w:p w14:paraId="2E96BF2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shd w:val="clear" w:color="auto" w:fill="EEECE1" w:themeFill="background2"/>
          </w:tcPr>
          <w:p w14:paraId="682F1FD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72E5668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659C1B3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30CC1D4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1735/2.77%</w:t>
            </w:r>
          </w:p>
        </w:tc>
        <w:tc>
          <w:tcPr>
            <w:tcW w:w="1417" w:type="dxa"/>
            <w:shd w:val="clear" w:color="auto" w:fill="FFFFFF" w:themeFill="background1"/>
          </w:tcPr>
          <w:p w14:paraId="218B73D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1855/2.61%</w:t>
            </w:r>
          </w:p>
        </w:tc>
        <w:tc>
          <w:tcPr>
            <w:tcW w:w="1276" w:type="dxa"/>
            <w:vMerge/>
            <w:tcBorders>
              <w:right w:val="nil"/>
            </w:tcBorders>
            <w:shd w:val="clear" w:color="auto" w:fill="EEECE1" w:themeFill="background2"/>
          </w:tcPr>
          <w:p w14:paraId="7DE823D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4DB50C4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4C6C9211" w14:textId="77777777" w:rsidTr="000041C7">
        <w:tc>
          <w:tcPr>
            <w:tcW w:w="376" w:type="dxa"/>
            <w:vMerge/>
            <w:tcBorders>
              <w:right w:val="nil"/>
            </w:tcBorders>
            <w:shd w:val="clear" w:color="auto" w:fill="EEECE1" w:themeFill="background2"/>
          </w:tcPr>
          <w:p w14:paraId="76C692D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  <w:shd w:val="clear" w:color="auto" w:fill="EEECE1" w:themeFill="background2"/>
          </w:tcPr>
          <w:p w14:paraId="3AFBE70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shd w:val="clear" w:color="auto" w:fill="EEECE1" w:themeFill="background2"/>
          </w:tcPr>
          <w:p w14:paraId="6CDB7FF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3BC900F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2936121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</w:tcPr>
          <w:p w14:paraId="1A5FDAF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30430</w:t>
            </w:r>
          </w:p>
        </w:tc>
        <w:tc>
          <w:tcPr>
            <w:tcW w:w="1134" w:type="dxa"/>
          </w:tcPr>
          <w:p w14:paraId="6A5FDF7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31355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B0CB8B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925/3.0%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  <w:shd w:val="clear" w:color="auto" w:fill="EEECE1" w:themeFill="background2"/>
          </w:tcPr>
          <w:p w14:paraId="321802B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shd w:val="clear" w:color="auto" w:fill="EEECE1" w:themeFill="background2"/>
          </w:tcPr>
          <w:p w14:paraId="5E2C775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EECE1" w:themeFill="background2"/>
          </w:tcPr>
          <w:p w14:paraId="6AEB87D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68C8371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3F79A9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1705/2.77%</w:t>
            </w:r>
          </w:p>
        </w:tc>
        <w:tc>
          <w:tcPr>
            <w:tcW w:w="1417" w:type="dxa"/>
            <w:shd w:val="clear" w:color="auto" w:fill="FFFFFF" w:themeFill="background1"/>
          </w:tcPr>
          <w:p w14:paraId="2CF390F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1825/2.61%</w:t>
            </w:r>
          </w:p>
        </w:tc>
        <w:tc>
          <w:tcPr>
            <w:tcW w:w="1276" w:type="dxa"/>
            <w:vMerge/>
            <w:tcBorders>
              <w:right w:val="nil"/>
            </w:tcBorders>
            <w:shd w:val="clear" w:color="auto" w:fill="EEECE1" w:themeFill="background2"/>
          </w:tcPr>
          <w:p w14:paraId="170E21D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1434E61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7A0F57D1" w14:textId="77777777" w:rsidTr="000041C7">
        <w:tc>
          <w:tcPr>
            <w:tcW w:w="376" w:type="dxa"/>
            <w:vMerge/>
            <w:tcBorders>
              <w:right w:val="nil"/>
            </w:tcBorders>
            <w:shd w:val="clear" w:color="auto" w:fill="EEECE1" w:themeFill="background2"/>
          </w:tcPr>
          <w:p w14:paraId="7C2C847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  <w:shd w:val="clear" w:color="auto" w:fill="EEECE1" w:themeFill="background2"/>
          </w:tcPr>
          <w:p w14:paraId="52E2D7D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37E603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023EF2E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43F9739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</w:tcPr>
          <w:p w14:paraId="53D4425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29435</w:t>
            </w:r>
          </w:p>
        </w:tc>
        <w:tc>
          <w:tcPr>
            <w:tcW w:w="1134" w:type="dxa"/>
          </w:tcPr>
          <w:p w14:paraId="1103112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30325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DB6BCF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890/3.0%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  <w:shd w:val="clear" w:color="auto" w:fill="EEECE1" w:themeFill="background2"/>
          </w:tcPr>
          <w:p w14:paraId="267B625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shd w:val="clear" w:color="auto" w:fill="EEECE1" w:themeFill="background2"/>
          </w:tcPr>
          <w:p w14:paraId="66784F9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0921F3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70C5104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530F02B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1670/2.76%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8B8F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1790/2.59%</w:t>
            </w:r>
          </w:p>
        </w:tc>
        <w:tc>
          <w:tcPr>
            <w:tcW w:w="1276" w:type="dxa"/>
            <w:vMerge/>
            <w:tcBorders>
              <w:right w:val="nil"/>
            </w:tcBorders>
            <w:shd w:val="clear" w:color="auto" w:fill="EEECE1" w:themeFill="background2"/>
          </w:tcPr>
          <w:p w14:paraId="580BDCC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5A2289D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3EEB0D2E" w14:textId="77777777" w:rsidTr="000041C7">
        <w:tc>
          <w:tcPr>
            <w:tcW w:w="376" w:type="dxa"/>
            <w:vMerge/>
            <w:tcBorders>
              <w:right w:val="nil"/>
            </w:tcBorders>
            <w:shd w:val="clear" w:color="auto" w:fill="EEECE1" w:themeFill="background2"/>
          </w:tcPr>
          <w:p w14:paraId="39A8F52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EEECE1" w:themeFill="background2"/>
          </w:tcPr>
          <w:p w14:paraId="21D16EF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left w:val="nil"/>
            </w:tcBorders>
            <w:shd w:val="clear" w:color="auto" w:fill="EEECE1" w:themeFill="background2"/>
          </w:tcPr>
          <w:p w14:paraId="7A9B1AD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2B60FEB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4318D29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</w:tcPr>
          <w:p w14:paraId="2A543E2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28435</w:t>
            </w:r>
          </w:p>
        </w:tc>
        <w:tc>
          <w:tcPr>
            <w:tcW w:w="1134" w:type="dxa"/>
          </w:tcPr>
          <w:p w14:paraId="7CE140B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29295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87BE76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860/3.0%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  <w:shd w:val="clear" w:color="auto" w:fill="EEECE1" w:themeFill="background2"/>
          </w:tcPr>
          <w:p w14:paraId="7468FBE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EEECE1" w:themeFill="background2"/>
          </w:tcPr>
          <w:p w14:paraId="7A94FAE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shd w:val="clear" w:color="auto" w:fill="EEECE1" w:themeFill="background2"/>
          </w:tcPr>
          <w:p w14:paraId="406A4111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474EF83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3B9594C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1640/2.75%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EEECE1" w:themeFill="background2"/>
          </w:tcPr>
          <w:p w14:paraId="74784EC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EEECE1" w:themeFill="background2"/>
          </w:tcPr>
          <w:p w14:paraId="46724D7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2A133BD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395B6D4A" w14:textId="77777777" w:rsidTr="000041C7">
        <w:tc>
          <w:tcPr>
            <w:tcW w:w="376" w:type="dxa"/>
            <w:vMerge/>
            <w:tcBorders>
              <w:right w:val="nil"/>
            </w:tcBorders>
          </w:tcPr>
          <w:p w14:paraId="5A657D6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14:paraId="028863D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</w:tcPr>
          <w:p w14:paraId="4569C70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0606292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3566599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992" w:type="dxa"/>
          </w:tcPr>
          <w:p w14:paraId="3288098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27435</w:t>
            </w:r>
          </w:p>
        </w:tc>
        <w:tc>
          <w:tcPr>
            <w:tcW w:w="1134" w:type="dxa"/>
          </w:tcPr>
          <w:p w14:paraId="27E2CD8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28265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2F25D3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830/3.0%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</w:tcPr>
          <w:p w14:paraId="66EF369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20EF5E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14:paraId="12FBB89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5DE467D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1E71B4A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1610/2.75%</w:t>
            </w:r>
          </w:p>
        </w:tc>
        <w:tc>
          <w:tcPr>
            <w:tcW w:w="1417" w:type="dxa"/>
            <w:vMerge/>
            <w:tcBorders>
              <w:right w:val="nil"/>
            </w:tcBorders>
            <w:shd w:val="clear" w:color="auto" w:fill="EEECE1" w:themeFill="background2"/>
          </w:tcPr>
          <w:p w14:paraId="0B2C0798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EEECE1" w:themeFill="background2"/>
          </w:tcPr>
          <w:p w14:paraId="332C0A0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3B8A07D6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2E253A2B" w14:textId="77777777" w:rsidTr="000041C7">
        <w:tc>
          <w:tcPr>
            <w:tcW w:w="376" w:type="dxa"/>
            <w:vMerge/>
            <w:tcBorders>
              <w:right w:val="nil"/>
            </w:tcBorders>
          </w:tcPr>
          <w:p w14:paraId="037C93D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14:paraId="5D405E6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</w:tcPr>
          <w:p w14:paraId="09731B5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1FEDBF9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7EDBC08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92" w:type="dxa"/>
          </w:tcPr>
          <w:p w14:paraId="4F7699A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26435</w:t>
            </w:r>
          </w:p>
        </w:tc>
        <w:tc>
          <w:tcPr>
            <w:tcW w:w="1134" w:type="dxa"/>
          </w:tcPr>
          <w:p w14:paraId="13F1203E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27240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46EA113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805/3.0%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</w:tcPr>
          <w:p w14:paraId="4326125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69B9065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14:paraId="38FF29E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2FF7CAD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502CF22B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1585/2.75%</w:t>
            </w:r>
          </w:p>
        </w:tc>
        <w:tc>
          <w:tcPr>
            <w:tcW w:w="1417" w:type="dxa"/>
            <w:vMerge/>
            <w:tcBorders>
              <w:right w:val="nil"/>
            </w:tcBorders>
            <w:shd w:val="clear" w:color="auto" w:fill="EEECE1" w:themeFill="background2"/>
          </w:tcPr>
          <w:p w14:paraId="67533C9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EEECE1" w:themeFill="background2"/>
          </w:tcPr>
          <w:p w14:paraId="7F47D54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01CCF024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107F9" w:rsidRPr="00BF64BC" w14:paraId="65431C97" w14:textId="77777777" w:rsidTr="000041C7">
        <w:tc>
          <w:tcPr>
            <w:tcW w:w="376" w:type="dxa"/>
            <w:vMerge/>
            <w:tcBorders>
              <w:right w:val="nil"/>
            </w:tcBorders>
          </w:tcPr>
          <w:p w14:paraId="65355A1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</w:tcPr>
          <w:p w14:paraId="4ACE065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</w:tcPr>
          <w:p w14:paraId="5CD6E7B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vMerge/>
          </w:tcPr>
          <w:p w14:paraId="3B852237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7D7E68A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992" w:type="dxa"/>
          </w:tcPr>
          <w:p w14:paraId="7582A6B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25435</w:t>
            </w:r>
          </w:p>
        </w:tc>
        <w:tc>
          <w:tcPr>
            <w:tcW w:w="1134" w:type="dxa"/>
          </w:tcPr>
          <w:p w14:paraId="30437E19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26210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8494C0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775/3.0%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nil"/>
            </w:tcBorders>
          </w:tcPr>
          <w:p w14:paraId="1EF6F600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34813BA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</w:tcPr>
          <w:p w14:paraId="7F29831C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E5DFEC" w:themeFill="accent4" w:themeFillTint="33"/>
          </w:tcPr>
          <w:p w14:paraId="7697C06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36BC601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F64BC">
              <w:rPr>
                <w:rFonts w:ascii="Times New Roman" w:eastAsia="標楷體" w:hAnsi="Times New Roman" w:cs="Times New Roman"/>
                <w:sz w:val="16"/>
                <w:szCs w:val="16"/>
              </w:rPr>
              <w:t>1555/2.75%</w:t>
            </w:r>
          </w:p>
        </w:tc>
        <w:tc>
          <w:tcPr>
            <w:tcW w:w="1417" w:type="dxa"/>
            <w:vMerge/>
            <w:tcBorders>
              <w:right w:val="nil"/>
            </w:tcBorders>
            <w:shd w:val="clear" w:color="auto" w:fill="EEECE1" w:themeFill="background2"/>
          </w:tcPr>
          <w:p w14:paraId="73BE5EBD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EEECE1" w:themeFill="background2"/>
          </w:tcPr>
          <w:p w14:paraId="69456E72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14:paraId="27AAF9EF" w14:textId="77777777" w:rsidR="006107F9" w:rsidRPr="00BF64BC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5AACB3BB" w14:textId="77777777" w:rsidR="000041C7" w:rsidRPr="006107F9" w:rsidRDefault="000041C7" w:rsidP="00C60F2B">
      <w:pPr>
        <w:rPr>
          <w:rFonts w:asciiTheme="minorEastAsia" w:hAnsiTheme="minorEastAsia"/>
          <w:sz w:val="20"/>
          <w:szCs w:val="20"/>
        </w:rPr>
      </w:pPr>
      <w:r w:rsidRPr="006107F9">
        <w:rPr>
          <w:rFonts w:asciiTheme="minorEastAsia" w:hAnsiTheme="minorEastAsia" w:hint="eastAsia"/>
          <w:sz w:val="20"/>
          <w:szCs w:val="20"/>
        </w:rPr>
        <w:t>資料來源：行政院。整理、</w:t>
      </w:r>
      <w:r>
        <w:rPr>
          <w:rFonts w:asciiTheme="minorEastAsia" w:hAnsiTheme="minorEastAsia" w:hint="eastAsia"/>
          <w:sz w:val="20"/>
          <w:szCs w:val="20"/>
        </w:rPr>
        <w:t>製表</w:t>
      </w:r>
      <w:r w:rsidRPr="006107F9">
        <w:rPr>
          <w:rFonts w:asciiTheme="minorEastAsia" w:hAnsiTheme="minorEastAsia" w:hint="eastAsia"/>
          <w:sz w:val="20"/>
          <w:szCs w:val="20"/>
        </w:rPr>
        <w:t>：台灣高等教育產業工會</w:t>
      </w:r>
    </w:p>
    <w:p w14:paraId="2E77F5D6" w14:textId="77777777" w:rsidR="006107F9" w:rsidRPr="000041C7" w:rsidRDefault="006107F9" w:rsidP="006107F9">
      <w:pPr>
        <w:spacing w:line="0" w:lineRule="atLeast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14:paraId="4B1ED19B" w14:textId="77777777" w:rsidR="006107F9" w:rsidRPr="00BF64BC" w:rsidRDefault="006107F9" w:rsidP="006107F9">
      <w:pPr>
        <w:spacing w:line="0" w:lineRule="atLeast"/>
        <w:rPr>
          <w:rFonts w:ascii="Times New Roman" w:eastAsia="標楷體" w:hAnsi="Times New Roman" w:cs="Times New Roman"/>
          <w:sz w:val="16"/>
          <w:szCs w:val="16"/>
        </w:rPr>
      </w:pPr>
    </w:p>
    <w:p w14:paraId="785C105B" w14:textId="77777777" w:rsidR="006107F9" w:rsidRPr="00BF64BC" w:rsidRDefault="006107F9" w:rsidP="006107F9">
      <w:pPr>
        <w:spacing w:line="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附件二、</w:t>
      </w:r>
      <w:r w:rsidRPr="00BF64BC">
        <w:rPr>
          <w:rFonts w:ascii="Times New Roman" w:eastAsia="標楷體" w:hAnsi="Times New Roman" w:cs="Times New Roman"/>
          <w:szCs w:val="24"/>
        </w:rPr>
        <w:t>105</w:t>
      </w:r>
      <w:r>
        <w:rPr>
          <w:rFonts w:ascii="Times New Roman" w:eastAsia="標楷體" w:hAnsi="Times New Roman" w:cs="Times New Roman"/>
          <w:szCs w:val="24"/>
        </w:rPr>
        <w:t>學年度高教各職級專任教師人數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BF64BC">
        <w:rPr>
          <w:rFonts w:ascii="Times New Roman" w:eastAsia="標楷體" w:hAnsi="Times New Roman" w:cs="Times New Roman"/>
          <w:szCs w:val="24"/>
        </w:rPr>
        <w:t>比例</w:t>
      </w:r>
      <w:r>
        <w:rPr>
          <w:rFonts w:ascii="Times New Roman" w:eastAsia="標楷體" w:hAnsi="Times New Roman" w:cs="Times New Roman" w:hint="eastAsia"/>
          <w:szCs w:val="24"/>
        </w:rPr>
        <w:t>與加薪幅度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3402"/>
      </w:tblGrid>
      <w:tr w:rsidR="006107F9" w:rsidRPr="00BF64BC" w14:paraId="23DEB54A" w14:textId="77777777" w:rsidTr="000041C7">
        <w:tc>
          <w:tcPr>
            <w:tcW w:w="1696" w:type="dxa"/>
          </w:tcPr>
          <w:p w14:paraId="7EEC6638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職級</w:t>
            </w:r>
          </w:p>
        </w:tc>
        <w:tc>
          <w:tcPr>
            <w:tcW w:w="1701" w:type="dxa"/>
          </w:tcPr>
          <w:p w14:paraId="4E1A7997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人數</w:t>
            </w:r>
          </w:p>
        </w:tc>
        <w:tc>
          <w:tcPr>
            <w:tcW w:w="1560" w:type="dxa"/>
          </w:tcPr>
          <w:p w14:paraId="68B76A73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人數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比例</w:t>
            </w:r>
          </w:p>
        </w:tc>
        <w:tc>
          <w:tcPr>
            <w:tcW w:w="3402" w:type="dxa"/>
          </w:tcPr>
          <w:p w14:paraId="5F7B9A63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加薪幅度</w:t>
            </w:r>
          </w:p>
        </w:tc>
      </w:tr>
      <w:tr w:rsidR="006107F9" w:rsidRPr="00BF64BC" w14:paraId="612AFC63" w14:textId="77777777" w:rsidTr="000041C7">
        <w:tc>
          <w:tcPr>
            <w:tcW w:w="1696" w:type="dxa"/>
            <w:shd w:val="clear" w:color="auto" w:fill="00B0F0"/>
          </w:tcPr>
          <w:p w14:paraId="31DD8BE2" w14:textId="77777777" w:rsidR="006107F9" w:rsidRPr="007A3EF6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教授</w:t>
            </w:r>
          </w:p>
        </w:tc>
        <w:tc>
          <w:tcPr>
            <w:tcW w:w="1701" w:type="dxa"/>
            <w:shd w:val="clear" w:color="auto" w:fill="00B0F0"/>
          </w:tcPr>
          <w:p w14:paraId="1B4C3931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12222</w:t>
            </w:r>
          </w:p>
        </w:tc>
        <w:tc>
          <w:tcPr>
            <w:tcW w:w="1560" w:type="dxa"/>
            <w:shd w:val="clear" w:color="auto" w:fill="00B0F0"/>
          </w:tcPr>
          <w:p w14:paraId="563AC958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27.8%</w:t>
            </w:r>
          </w:p>
        </w:tc>
        <w:tc>
          <w:tcPr>
            <w:tcW w:w="3402" w:type="dxa"/>
            <w:shd w:val="clear" w:color="auto" w:fill="00B0F0"/>
          </w:tcPr>
          <w:p w14:paraId="284B05D1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6.57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8.65%</w:t>
            </w:r>
          </w:p>
        </w:tc>
      </w:tr>
      <w:tr w:rsidR="006107F9" w:rsidRPr="00BF64BC" w14:paraId="0B0097EE" w14:textId="77777777" w:rsidTr="000041C7">
        <w:tc>
          <w:tcPr>
            <w:tcW w:w="1696" w:type="dxa"/>
          </w:tcPr>
          <w:p w14:paraId="49215D85" w14:textId="77777777" w:rsidR="006107F9" w:rsidRPr="007A3EF6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副教授</w:t>
            </w:r>
          </w:p>
        </w:tc>
        <w:tc>
          <w:tcPr>
            <w:tcW w:w="1701" w:type="dxa"/>
          </w:tcPr>
          <w:p w14:paraId="200DA550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15007</w:t>
            </w:r>
          </w:p>
        </w:tc>
        <w:tc>
          <w:tcPr>
            <w:tcW w:w="1560" w:type="dxa"/>
          </w:tcPr>
          <w:p w14:paraId="468BBA6A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34.1%</w:t>
            </w:r>
          </w:p>
        </w:tc>
        <w:tc>
          <w:tcPr>
            <w:tcW w:w="3402" w:type="dxa"/>
          </w:tcPr>
          <w:p w14:paraId="797B51DE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2.53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2.62%</w:t>
            </w:r>
          </w:p>
        </w:tc>
        <w:bookmarkStart w:id="0" w:name="_GoBack"/>
        <w:bookmarkEnd w:id="0"/>
      </w:tr>
      <w:tr w:rsidR="006107F9" w:rsidRPr="00BF64BC" w14:paraId="78331D90" w14:textId="77777777" w:rsidTr="000041C7">
        <w:tc>
          <w:tcPr>
            <w:tcW w:w="1696" w:type="dxa"/>
          </w:tcPr>
          <w:p w14:paraId="30D136B1" w14:textId="77777777" w:rsidR="006107F9" w:rsidRPr="007A3EF6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助理教授</w:t>
            </w:r>
          </w:p>
        </w:tc>
        <w:tc>
          <w:tcPr>
            <w:tcW w:w="1701" w:type="dxa"/>
          </w:tcPr>
          <w:p w14:paraId="652BE4BD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11909</w:t>
            </w:r>
          </w:p>
        </w:tc>
        <w:tc>
          <w:tcPr>
            <w:tcW w:w="1560" w:type="dxa"/>
          </w:tcPr>
          <w:p w14:paraId="5FF30897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27.1%</w:t>
            </w:r>
          </w:p>
        </w:tc>
        <w:tc>
          <w:tcPr>
            <w:tcW w:w="3402" w:type="dxa"/>
          </w:tcPr>
          <w:p w14:paraId="099D7235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2.59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2.68%</w:t>
            </w:r>
          </w:p>
        </w:tc>
      </w:tr>
      <w:tr w:rsidR="006107F9" w:rsidRPr="00BF64BC" w14:paraId="20A3AB9A" w14:textId="77777777" w:rsidTr="000041C7">
        <w:tc>
          <w:tcPr>
            <w:tcW w:w="1696" w:type="dxa"/>
          </w:tcPr>
          <w:p w14:paraId="5C0213FF" w14:textId="77777777" w:rsidR="006107F9" w:rsidRPr="007A3EF6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講師</w:t>
            </w:r>
          </w:p>
        </w:tc>
        <w:tc>
          <w:tcPr>
            <w:tcW w:w="1701" w:type="dxa"/>
          </w:tcPr>
          <w:p w14:paraId="56C6130C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4828</w:t>
            </w:r>
          </w:p>
        </w:tc>
        <w:tc>
          <w:tcPr>
            <w:tcW w:w="1560" w:type="dxa"/>
          </w:tcPr>
          <w:p w14:paraId="07D5A567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11.0%</w:t>
            </w:r>
          </w:p>
        </w:tc>
        <w:tc>
          <w:tcPr>
            <w:tcW w:w="3402" w:type="dxa"/>
          </w:tcPr>
          <w:p w14:paraId="2A37256E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2.75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>2.82%</w:t>
            </w:r>
          </w:p>
        </w:tc>
      </w:tr>
      <w:tr w:rsidR="006107F9" w:rsidRPr="00BF64BC" w14:paraId="5E4EADC0" w14:textId="77777777" w:rsidTr="000041C7">
        <w:tc>
          <w:tcPr>
            <w:tcW w:w="1696" w:type="dxa"/>
          </w:tcPr>
          <w:p w14:paraId="41FB0717" w14:textId="77777777" w:rsidR="006107F9" w:rsidRPr="007A3EF6" w:rsidRDefault="006107F9" w:rsidP="000041C7">
            <w:pPr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564BD685" w14:textId="77777777" w:rsidR="006107F9" w:rsidRPr="007A3EF6" w:rsidRDefault="006107F9" w:rsidP="000041C7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A3EF6">
              <w:rPr>
                <w:rFonts w:ascii="Times New Roman" w:eastAsia="標楷體" w:hAnsi="Times New Roman" w:cs="Times New Roman"/>
                <w:sz w:val="22"/>
              </w:rPr>
              <w:t>總共</w:t>
            </w:r>
            <w:r w:rsidRPr="007A3EF6">
              <w:rPr>
                <w:rFonts w:ascii="Times New Roman" w:eastAsia="標楷體" w:hAnsi="Times New Roman" w:cs="Times New Roman"/>
                <w:sz w:val="22"/>
              </w:rPr>
              <w:t xml:space="preserve">  43966</w:t>
            </w:r>
          </w:p>
        </w:tc>
        <w:tc>
          <w:tcPr>
            <w:tcW w:w="1560" w:type="dxa"/>
          </w:tcPr>
          <w:p w14:paraId="36718C00" w14:textId="77777777" w:rsidR="006107F9" w:rsidRPr="007A3EF6" w:rsidRDefault="006107F9" w:rsidP="000041C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3D14B41E" w14:textId="77777777" w:rsidR="006107F9" w:rsidRPr="007A3EF6" w:rsidRDefault="006107F9" w:rsidP="000041C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0B6C8A33" w14:textId="77777777" w:rsidR="000041C7" w:rsidRPr="006107F9" w:rsidRDefault="000041C7" w:rsidP="00C60F2B">
      <w:pPr>
        <w:rPr>
          <w:rFonts w:asciiTheme="minorEastAsia" w:hAnsiTheme="minorEastAsia"/>
          <w:sz w:val="20"/>
          <w:szCs w:val="20"/>
        </w:rPr>
      </w:pPr>
      <w:r w:rsidRPr="006107F9">
        <w:rPr>
          <w:rFonts w:asciiTheme="minorEastAsia" w:hAnsiTheme="minorEastAsia" w:hint="eastAsia"/>
          <w:sz w:val="20"/>
          <w:szCs w:val="20"/>
        </w:rPr>
        <w:t>資料來源：行政院。整理、</w:t>
      </w:r>
      <w:r>
        <w:rPr>
          <w:rFonts w:asciiTheme="minorEastAsia" w:hAnsiTheme="minorEastAsia" w:hint="eastAsia"/>
          <w:sz w:val="20"/>
          <w:szCs w:val="20"/>
        </w:rPr>
        <w:t>製表</w:t>
      </w:r>
      <w:r w:rsidRPr="006107F9">
        <w:rPr>
          <w:rFonts w:asciiTheme="minorEastAsia" w:hAnsiTheme="minorEastAsia" w:hint="eastAsia"/>
          <w:sz w:val="20"/>
          <w:szCs w:val="20"/>
        </w:rPr>
        <w:t>：台灣高等教育產業工會</w:t>
      </w:r>
    </w:p>
    <w:p w14:paraId="5DFE8C22" w14:textId="77777777" w:rsidR="006107F9" w:rsidRPr="000041C7" w:rsidRDefault="006107F9" w:rsidP="006107F9">
      <w:pPr>
        <w:spacing w:line="0" w:lineRule="atLeast"/>
        <w:rPr>
          <w:rFonts w:ascii="Times New Roman" w:eastAsia="標楷體" w:hAnsi="Times New Roman" w:cs="Times New Roman"/>
          <w:sz w:val="16"/>
          <w:szCs w:val="16"/>
        </w:rPr>
      </w:pPr>
    </w:p>
    <w:p w14:paraId="0952EABE" w14:textId="77777777" w:rsidR="00CF4E69" w:rsidRPr="00800F67" w:rsidRDefault="00CF4E69">
      <w:pPr>
        <w:rPr>
          <w:rFonts w:asciiTheme="minorEastAsia" w:hAnsiTheme="minorEastAsia"/>
        </w:rPr>
      </w:pPr>
    </w:p>
    <w:sectPr w:rsidR="00CF4E69" w:rsidRPr="00800F67" w:rsidSect="000041C7">
      <w:pgSz w:w="16838" w:h="11906" w:orient="landscape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E283F" w14:textId="77777777" w:rsidR="002F1206" w:rsidRDefault="002F1206" w:rsidP="006107F9">
      <w:r>
        <w:separator/>
      </w:r>
    </w:p>
  </w:endnote>
  <w:endnote w:type="continuationSeparator" w:id="0">
    <w:p w14:paraId="27961107" w14:textId="77777777" w:rsidR="002F1206" w:rsidRDefault="002F1206" w:rsidP="006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FF751" w14:textId="77777777" w:rsidR="002F1206" w:rsidRDefault="002F1206" w:rsidP="006107F9">
      <w:r>
        <w:separator/>
      </w:r>
    </w:p>
  </w:footnote>
  <w:footnote w:type="continuationSeparator" w:id="0">
    <w:p w14:paraId="7EC1610A" w14:textId="77777777" w:rsidR="002F1206" w:rsidRDefault="002F1206" w:rsidP="0061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9"/>
    <w:rsid w:val="0000213F"/>
    <w:rsid w:val="000041C7"/>
    <w:rsid w:val="000923F6"/>
    <w:rsid w:val="00134194"/>
    <w:rsid w:val="00155306"/>
    <w:rsid w:val="001A432D"/>
    <w:rsid w:val="002F1206"/>
    <w:rsid w:val="004B0281"/>
    <w:rsid w:val="004D25F7"/>
    <w:rsid w:val="004D6F9E"/>
    <w:rsid w:val="00532E50"/>
    <w:rsid w:val="005A2610"/>
    <w:rsid w:val="006107F9"/>
    <w:rsid w:val="007252C4"/>
    <w:rsid w:val="00757961"/>
    <w:rsid w:val="007B04D0"/>
    <w:rsid w:val="007B1BC4"/>
    <w:rsid w:val="00800F67"/>
    <w:rsid w:val="00896DA1"/>
    <w:rsid w:val="008A75DC"/>
    <w:rsid w:val="00932B71"/>
    <w:rsid w:val="0095768A"/>
    <w:rsid w:val="00A05316"/>
    <w:rsid w:val="00B42D8B"/>
    <w:rsid w:val="00C27069"/>
    <w:rsid w:val="00C60F2B"/>
    <w:rsid w:val="00CF4E69"/>
    <w:rsid w:val="00F00D03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57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D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6DA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00F6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0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07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07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-ws.gov.taipei/Download.ashx?u=LzAwMS9VcGxvYWQvMzY5L3JlbGZpbGUvMTAxNzMvNzU4OTQyOC84YTg4YzVlZS04NzA3LTQ3ODAtYWI4Yy00YjQ0MTIxMDVkODAucGRm&amp;n=MzDlhaznq4vlpKflsIjmoKHpmaLmlZnluKvlrbjooZPnoJTnqbbliqDntabooagucGRm" TargetMode="External"/><Relationship Id="rId8" Type="http://schemas.openxmlformats.org/officeDocument/2006/relationships/hyperlink" Target="http://p11.ntue.edu.tw/personnel/photo/page/files/201611316521263361.pdf" TargetMode="External"/><Relationship Id="rId9" Type="http://schemas.openxmlformats.org/officeDocument/2006/relationships/chart" Target="charts/chart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400"/>
              <a:t>圖一、物價水準與大專教育人員薪給調幅</a:t>
            </a:r>
            <a:endParaRPr lang="en-US" altLang="zh-TW" sz="1400"/>
          </a:p>
          <a:p>
            <a:pPr>
              <a:defRPr/>
            </a:pPr>
            <a:r>
              <a:rPr lang="zh-TW" altLang="en-US" sz="1200"/>
              <a:t>（</a:t>
            </a:r>
            <a:r>
              <a:rPr lang="en-US" altLang="zh-TW" sz="1200"/>
              <a:t>2011</a:t>
            </a:r>
            <a:r>
              <a:rPr lang="zh-TW" altLang="en-US" sz="1200"/>
              <a:t>年</a:t>
            </a:r>
            <a:r>
              <a:rPr lang="en-US" altLang="zh-TW" sz="1200"/>
              <a:t>1</a:t>
            </a:r>
            <a:r>
              <a:rPr lang="zh-TW" altLang="en-US" sz="1200"/>
              <a:t>月－</a:t>
            </a:r>
            <a:r>
              <a:rPr lang="en-US" altLang="zh-TW" sz="1200"/>
              <a:t>2018</a:t>
            </a:r>
            <a:r>
              <a:rPr lang="zh-TW" altLang="en-US" sz="1200"/>
              <a:t>年</a:t>
            </a:r>
            <a:r>
              <a:rPr lang="en-US" altLang="zh-TW" sz="1200"/>
              <a:t>1</a:t>
            </a:r>
            <a:r>
              <a:rPr lang="zh-TW" altLang="en-US" sz="1200"/>
              <a:t>月）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消費者物價指數</c:v>
                </c:pt>
              </c:strCache>
            </c:strRef>
          </c:tx>
          <c:cat>
            <c:strRef>
              <c:f>工作表1!$A$2:$A$9</c:f>
              <c:strCache>
                <c:ptCount val="8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  <c:pt idx="4">
                  <c:v>2015年</c:v>
                </c:pt>
                <c:pt idx="5">
                  <c:v>2016年</c:v>
                </c:pt>
                <c:pt idx="6">
                  <c:v>2017年</c:v>
                </c:pt>
                <c:pt idx="7">
                  <c:v>2018年</c:v>
                </c:pt>
              </c:strCache>
            </c:strRef>
          </c:cat>
          <c:val>
            <c:numRef>
              <c:f>工作表1!$B$2:$B$9</c:f>
              <c:numCache>
                <c:formatCode>General</c:formatCode>
                <c:ptCount val="8"/>
                <c:pt idx="0">
                  <c:v>100.0</c:v>
                </c:pt>
                <c:pt idx="1">
                  <c:v>102.4</c:v>
                </c:pt>
                <c:pt idx="2">
                  <c:v>103.5</c:v>
                </c:pt>
                <c:pt idx="3">
                  <c:v>104.4</c:v>
                </c:pt>
                <c:pt idx="4">
                  <c:v>103.4</c:v>
                </c:pt>
                <c:pt idx="5">
                  <c:v>104.2</c:v>
                </c:pt>
                <c:pt idx="6">
                  <c:v>106.6</c:v>
                </c:pt>
                <c:pt idx="7">
                  <c:v>107.5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正教授薪給調幅指數</c:v>
                </c:pt>
              </c:strCache>
            </c:strRef>
          </c:tx>
          <c:cat>
            <c:strRef>
              <c:f>工作表1!$A$2:$A$9</c:f>
              <c:strCache>
                <c:ptCount val="8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  <c:pt idx="4">
                  <c:v>2015年</c:v>
                </c:pt>
                <c:pt idx="5">
                  <c:v>2016年</c:v>
                </c:pt>
                <c:pt idx="6">
                  <c:v>2017年</c:v>
                </c:pt>
                <c:pt idx="7">
                  <c:v>2018年</c:v>
                </c:pt>
              </c:strCache>
            </c:strRef>
          </c:cat>
          <c:val>
            <c:numRef>
              <c:f>工作表1!$C$2:$C$9</c:f>
              <c:numCache>
                <c:formatCode>General</c:formatCode>
                <c:ptCount val="8"/>
                <c:pt idx="0">
                  <c:v>100.0</c:v>
                </c:pt>
                <c:pt idx="1">
                  <c:v>100.0</c:v>
                </c:pt>
                <c:pt idx="2">
                  <c:v>100.0</c:v>
                </c:pt>
                <c:pt idx="3">
                  <c:v>100.0</c:v>
                </c:pt>
                <c:pt idx="4">
                  <c:v>100.0</c:v>
                </c:pt>
                <c:pt idx="5">
                  <c:v>100.0</c:v>
                </c:pt>
                <c:pt idx="6">
                  <c:v>100.0</c:v>
                </c:pt>
                <c:pt idx="7">
                  <c:v>108.0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副教授、助理教授、講師薪給調幅指數</c:v>
                </c:pt>
              </c:strCache>
            </c:strRef>
          </c:tx>
          <c:cat>
            <c:strRef>
              <c:f>工作表1!$A$2:$A$9</c:f>
              <c:strCache>
                <c:ptCount val="8"/>
                <c:pt idx="0">
                  <c:v>2011年</c:v>
                </c:pt>
                <c:pt idx="1">
                  <c:v>2012年</c:v>
                </c:pt>
                <c:pt idx="2">
                  <c:v>2013年</c:v>
                </c:pt>
                <c:pt idx="3">
                  <c:v>2014年</c:v>
                </c:pt>
                <c:pt idx="4">
                  <c:v>2015年</c:v>
                </c:pt>
                <c:pt idx="5">
                  <c:v>2016年</c:v>
                </c:pt>
                <c:pt idx="6">
                  <c:v>2017年</c:v>
                </c:pt>
                <c:pt idx="7">
                  <c:v>2018年</c:v>
                </c:pt>
              </c:strCache>
            </c:strRef>
          </c:cat>
          <c:val>
            <c:numRef>
              <c:f>工作表1!$D$2:$D$9</c:f>
              <c:numCache>
                <c:formatCode>General</c:formatCode>
                <c:ptCount val="8"/>
                <c:pt idx="0">
                  <c:v>100.0</c:v>
                </c:pt>
                <c:pt idx="1">
                  <c:v>100.0</c:v>
                </c:pt>
                <c:pt idx="2">
                  <c:v>100.0</c:v>
                </c:pt>
                <c:pt idx="3">
                  <c:v>100.0</c:v>
                </c:pt>
                <c:pt idx="4">
                  <c:v>100.0</c:v>
                </c:pt>
                <c:pt idx="5">
                  <c:v>100.0</c:v>
                </c:pt>
                <c:pt idx="6">
                  <c:v>100.0</c:v>
                </c:pt>
                <c:pt idx="7">
                  <c:v>102.6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710880"/>
        <c:axId val="-2079434048"/>
      </c:lineChart>
      <c:catAx>
        <c:axId val="2100710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79434048"/>
        <c:crosses val="autoZero"/>
        <c:auto val="1"/>
        <c:lblAlgn val="ctr"/>
        <c:lblOffset val="100"/>
        <c:noMultiLvlLbl val="0"/>
      </c:catAx>
      <c:valAx>
        <c:axId val="-2079434048"/>
        <c:scaling>
          <c:orientation val="minMax"/>
          <c:min val="98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00710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CA4E-0DE6-6D4B-ACD5-38BBC11F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Por-Yee Lin</dc:creator>
  <cp:lastModifiedBy>Microsoft Office 使用者</cp:lastModifiedBy>
  <cp:revision>3</cp:revision>
  <cp:lastPrinted>2018-02-27T02:34:00Z</cp:lastPrinted>
  <dcterms:created xsi:type="dcterms:W3CDTF">2018-02-27T02:31:00Z</dcterms:created>
  <dcterms:modified xsi:type="dcterms:W3CDTF">2018-02-27T02:54:00Z</dcterms:modified>
</cp:coreProperties>
</file>