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09" w:rsidRPr="002A52BC" w:rsidRDefault="00DD336C" w:rsidP="00DD336C">
      <w:pPr>
        <w:jc w:val="center"/>
        <w:rPr>
          <w:rFonts w:hint="eastAsia"/>
          <w:b/>
          <w:sz w:val="32"/>
          <w:szCs w:val="32"/>
        </w:rPr>
      </w:pPr>
      <w:r>
        <w:rPr>
          <w:rFonts w:hint="eastAsia"/>
          <w:b/>
          <w:sz w:val="32"/>
          <w:szCs w:val="32"/>
        </w:rPr>
        <w:t>教育部僅</w:t>
      </w:r>
      <w:r w:rsidR="00D35C52">
        <w:rPr>
          <w:rFonts w:hint="eastAsia"/>
          <w:b/>
          <w:sz w:val="32"/>
          <w:szCs w:val="32"/>
        </w:rPr>
        <w:t>「</w:t>
      </w:r>
      <w:r w:rsidR="002A52BC" w:rsidRPr="002A52BC">
        <w:rPr>
          <w:rFonts w:hint="eastAsia"/>
          <w:b/>
          <w:sz w:val="32"/>
          <w:szCs w:val="32"/>
        </w:rPr>
        <w:t>信託</w:t>
      </w:r>
      <w:r w:rsidR="00D35C52">
        <w:rPr>
          <w:rFonts w:hint="eastAsia"/>
          <w:b/>
          <w:sz w:val="32"/>
          <w:szCs w:val="32"/>
        </w:rPr>
        <w:t>」</w:t>
      </w:r>
      <w:r w:rsidR="002A52BC" w:rsidRPr="002A52BC">
        <w:rPr>
          <w:rFonts w:hint="eastAsia"/>
          <w:b/>
          <w:sz w:val="32"/>
          <w:szCs w:val="32"/>
        </w:rPr>
        <w:t>不動產</w:t>
      </w:r>
      <w:r>
        <w:rPr>
          <w:rFonts w:hint="eastAsia"/>
          <w:b/>
          <w:sz w:val="32"/>
          <w:szCs w:val="32"/>
        </w:rPr>
        <w:t>即是幫亞太禿鷹校董共謀</w:t>
      </w:r>
      <w:proofErr w:type="gramStart"/>
      <w:r>
        <w:rPr>
          <w:rFonts w:hint="eastAsia"/>
          <w:b/>
          <w:sz w:val="32"/>
          <w:szCs w:val="32"/>
        </w:rPr>
        <w:t>打假球</w:t>
      </w:r>
      <w:proofErr w:type="gramEnd"/>
      <w:r w:rsidR="002A52BC" w:rsidRPr="002A52BC">
        <w:rPr>
          <w:rFonts w:hint="eastAsia"/>
          <w:b/>
          <w:sz w:val="32"/>
          <w:szCs w:val="32"/>
        </w:rPr>
        <w:t>！</w:t>
      </w:r>
    </w:p>
    <w:p w:rsidR="006D5509" w:rsidRPr="002A52BC" w:rsidRDefault="002A52BC" w:rsidP="002A52BC">
      <w:pPr>
        <w:jc w:val="center"/>
        <w:rPr>
          <w:rFonts w:hint="eastAsia"/>
          <w:b/>
        </w:rPr>
      </w:pPr>
      <w:r w:rsidRPr="002A52BC">
        <w:rPr>
          <w:rFonts w:hint="eastAsia"/>
          <w:b/>
        </w:rPr>
        <w:t>董事會仍可轉型獲利，</w:t>
      </w:r>
      <w:r w:rsidR="00D35C52">
        <w:rPr>
          <w:rFonts w:hint="eastAsia"/>
          <w:b/>
        </w:rPr>
        <w:t>師生依舊權益受損，</w:t>
      </w:r>
      <w:r w:rsidR="00DD336C">
        <w:rPr>
          <w:rFonts w:hint="eastAsia"/>
          <w:b/>
        </w:rPr>
        <w:t>唯一</w:t>
      </w:r>
      <w:r w:rsidR="00D35C52">
        <w:rPr>
          <w:rFonts w:hint="eastAsia"/>
          <w:b/>
        </w:rPr>
        <w:t>出路</w:t>
      </w:r>
      <w:r w:rsidRPr="002A52BC">
        <w:rPr>
          <w:rFonts w:hint="eastAsia"/>
          <w:b/>
        </w:rPr>
        <w:t>依</w:t>
      </w:r>
      <w:r w:rsidR="00D35C52">
        <w:rPr>
          <w:rFonts w:hint="eastAsia"/>
          <w:b/>
        </w:rPr>
        <w:t>法</w:t>
      </w:r>
      <w:r w:rsidRPr="002A52BC">
        <w:rPr>
          <w:rFonts w:hint="eastAsia"/>
          <w:b/>
        </w:rPr>
        <w:t>解散董事會</w:t>
      </w:r>
      <w:r>
        <w:rPr>
          <w:rFonts w:hint="eastAsia"/>
          <w:b/>
        </w:rPr>
        <w:t>！</w:t>
      </w:r>
    </w:p>
    <w:p w:rsidR="006D5509" w:rsidRDefault="00CB6A86" w:rsidP="00CB6A86">
      <w:pPr>
        <w:jc w:val="center"/>
        <w:rPr>
          <w:rFonts w:hint="eastAsia"/>
        </w:rPr>
      </w:pPr>
      <w:r>
        <w:rPr>
          <w:rFonts w:hint="eastAsia"/>
        </w:rPr>
        <w:t>台灣高等教育產業工會</w:t>
      </w:r>
    </w:p>
    <w:p w:rsidR="00CB6A86" w:rsidRDefault="00CB6A86" w:rsidP="00CB6A86">
      <w:pPr>
        <w:jc w:val="center"/>
        <w:rPr>
          <w:rFonts w:hint="eastAsia"/>
        </w:rPr>
      </w:pPr>
      <w:proofErr w:type="gramStart"/>
      <w:r>
        <w:rPr>
          <w:rFonts w:hint="eastAsia"/>
        </w:rPr>
        <w:t>2018.3.26.</w:t>
      </w:r>
      <w:proofErr w:type="gramEnd"/>
    </w:p>
    <w:p w:rsidR="00CB6A86" w:rsidRDefault="00CB6A86" w:rsidP="006D5509">
      <w:pPr>
        <w:rPr>
          <w:rFonts w:hint="eastAsia"/>
        </w:rPr>
      </w:pPr>
    </w:p>
    <w:p w:rsidR="00D35C52" w:rsidRDefault="00D35C52" w:rsidP="00CB6A86">
      <w:pPr>
        <w:ind w:firstLineChars="200" w:firstLine="480"/>
        <w:rPr>
          <w:rFonts w:hint="eastAsia"/>
        </w:rPr>
      </w:pPr>
      <w:r>
        <w:rPr>
          <w:rFonts w:hint="eastAsia"/>
        </w:rPr>
        <w:t>面對</w:t>
      </w:r>
      <w:proofErr w:type="gramStart"/>
      <w:r>
        <w:rPr>
          <w:rFonts w:hint="eastAsia"/>
        </w:rPr>
        <w:t>怡</w:t>
      </w:r>
      <w:proofErr w:type="gramEnd"/>
      <w:r>
        <w:rPr>
          <w:rFonts w:hint="eastAsia"/>
        </w:rPr>
        <w:t>盛公司入主亞太學院董事會以來，不正辦學頻頻，損及師生權益，形同試圖「趕快把</w:t>
      </w:r>
      <w:proofErr w:type="gramStart"/>
      <w:r>
        <w:rPr>
          <w:rFonts w:hint="eastAsia"/>
        </w:rPr>
        <w:t>學校辦倒</w:t>
      </w:r>
      <w:proofErr w:type="gramEnd"/>
      <w:r>
        <w:rPr>
          <w:rFonts w:hint="eastAsia"/>
        </w:rPr>
        <w:t>」以圖謀退場利益的行為，昨日已有亞太逾半數的教職員生參與投票，近乎全數皆表達同意：「</w:t>
      </w:r>
      <w:r w:rsidRPr="00DD336C">
        <w:rPr>
          <w:rFonts w:hint="eastAsia"/>
          <w:b/>
          <w:u w:val="single"/>
        </w:rPr>
        <w:t>亞太董事會已影響亞太校務之正常運作，有必要由教育部聲請解除現有董事之職務，重新推舉包含師生代表之公正人士組織學校董事會。</w:t>
      </w:r>
      <w:r>
        <w:rPr>
          <w:rFonts w:hint="eastAsia"/>
        </w:rPr>
        <w:t>」</w:t>
      </w:r>
    </w:p>
    <w:p w:rsidR="00D35C52" w:rsidRPr="00D35C52" w:rsidRDefault="00D35C52" w:rsidP="006D5509">
      <w:pPr>
        <w:rPr>
          <w:rFonts w:hint="eastAsia"/>
        </w:rPr>
      </w:pPr>
    </w:p>
    <w:p w:rsidR="00D35C52" w:rsidRDefault="00D35C52" w:rsidP="00DD336C">
      <w:pPr>
        <w:ind w:firstLineChars="200" w:firstLine="480"/>
        <w:rPr>
          <w:rFonts w:hint="eastAsia"/>
        </w:rPr>
      </w:pPr>
      <w:r>
        <w:rPr>
          <w:rFonts w:hint="eastAsia"/>
        </w:rPr>
        <w:t>然而，教育部對此卻只對外聲稱要將亞太學院的不動產「強制信託」、要求苗栗縣政府通過土地移轉前要經教育部同意，並聲稱這是「私校首例」來展現其積極樣貌</w:t>
      </w:r>
      <w:r w:rsidR="00DD336C">
        <w:rPr>
          <w:rFonts w:hint="eastAsia"/>
        </w:rPr>
        <w:t>，企圖混淆視聽。</w:t>
      </w:r>
      <w:r>
        <w:rPr>
          <w:rFonts w:hint="eastAsia"/>
        </w:rPr>
        <w:t>卻始終不依照私立學校法第</w:t>
      </w:r>
      <w:r>
        <w:rPr>
          <w:rFonts w:hint="eastAsia"/>
        </w:rPr>
        <w:t>25</w:t>
      </w:r>
      <w:r>
        <w:rPr>
          <w:rFonts w:hint="eastAsia"/>
        </w:rPr>
        <w:t>條，將已顯然不正</w:t>
      </w:r>
      <w:proofErr w:type="gramStart"/>
      <w:r>
        <w:rPr>
          <w:rFonts w:hint="eastAsia"/>
        </w:rPr>
        <w:t>辦學與損及</w:t>
      </w:r>
      <w:proofErr w:type="gramEnd"/>
      <w:r>
        <w:rPr>
          <w:rFonts w:hint="eastAsia"/>
        </w:rPr>
        <w:t>師生權益的亞太董事會，按程序聲請解散並重組。我們要強烈質疑：這</w:t>
      </w:r>
      <w:r w:rsidR="00DD336C">
        <w:rPr>
          <w:rFonts w:hint="eastAsia"/>
        </w:rPr>
        <w:t>就是教育部和禿鷹校董合謀</w:t>
      </w:r>
      <w:r w:rsidR="00DE1E2C">
        <w:rPr>
          <w:rFonts w:hint="eastAsia"/>
        </w:rPr>
        <w:t>「</w:t>
      </w:r>
      <w:proofErr w:type="gramStart"/>
      <w:r w:rsidR="00DE1E2C">
        <w:rPr>
          <w:rFonts w:hint="eastAsia"/>
        </w:rPr>
        <w:t>打假球</w:t>
      </w:r>
      <w:proofErr w:type="gramEnd"/>
      <w:r w:rsidR="00DE1E2C">
        <w:rPr>
          <w:rFonts w:hint="eastAsia"/>
        </w:rPr>
        <w:t>」！</w:t>
      </w:r>
    </w:p>
    <w:p w:rsidR="00DD336C" w:rsidRDefault="00DD336C" w:rsidP="00DD336C">
      <w:pPr>
        <w:ind w:firstLineChars="200" w:firstLine="480"/>
        <w:rPr>
          <w:rFonts w:hint="eastAsia"/>
        </w:rPr>
      </w:pPr>
    </w:p>
    <w:p w:rsidR="00DD336C" w:rsidRPr="00DD336C" w:rsidRDefault="00DD336C" w:rsidP="00DD336C">
      <w:pPr>
        <w:rPr>
          <w:rFonts w:hint="eastAsia"/>
          <w:b/>
        </w:rPr>
      </w:pPr>
      <w:r>
        <w:rPr>
          <w:rFonts w:hint="eastAsia"/>
          <w:b/>
        </w:rPr>
        <w:t>校產信託「監管」</w:t>
      </w:r>
      <w:r w:rsidR="00196D69">
        <w:rPr>
          <w:rFonts w:hint="eastAsia"/>
          <w:b/>
        </w:rPr>
        <w:t>，模糊焦點配合校董演出</w:t>
      </w:r>
    </w:p>
    <w:p w:rsidR="00D35C52" w:rsidRDefault="00D35C52" w:rsidP="006D5509">
      <w:pPr>
        <w:rPr>
          <w:rFonts w:hint="eastAsia"/>
        </w:rPr>
      </w:pPr>
    </w:p>
    <w:p w:rsidR="004D25F7" w:rsidRDefault="00DE1E2C" w:rsidP="00CB6A86">
      <w:pPr>
        <w:ind w:firstLineChars="200" w:firstLine="480"/>
        <w:rPr>
          <w:rFonts w:hint="eastAsia"/>
        </w:rPr>
      </w:pPr>
      <w:r>
        <w:rPr>
          <w:rFonts w:hint="eastAsia"/>
        </w:rPr>
        <w:t>首先，所謂將亞太的不動產「信託」，實際上根本沒有差別。按照現行私立學校法第</w:t>
      </w:r>
      <w:r>
        <w:rPr>
          <w:rFonts w:hint="eastAsia"/>
        </w:rPr>
        <w:t>49</w:t>
      </w:r>
      <w:r>
        <w:rPr>
          <w:rFonts w:hint="eastAsia"/>
        </w:rPr>
        <w:t>條規定，私立學校要變賣處分學校不動產，本來就要經教育部同意</w:t>
      </w:r>
      <w:r w:rsidR="00CB6A86">
        <w:rPr>
          <w:rStyle w:val="a5"/>
        </w:rPr>
        <w:footnoteReference w:id="1"/>
      </w:r>
      <w:r>
        <w:rPr>
          <w:rFonts w:hint="eastAsia"/>
        </w:rPr>
        <w:t>。</w:t>
      </w:r>
      <w:r w:rsidR="00CB6A86">
        <w:rPr>
          <w:rFonts w:hint="eastAsia"/>
        </w:rPr>
        <w:t>對於違規者，教育部不但可以</w:t>
      </w:r>
      <w:proofErr w:type="gramStart"/>
      <w:r w:rsidR="00CB6A86">
        <w:rPr>
          <w:rFonts w:hint="eastAsia"/>
        </w:rPr>
        <w:t>連續罰至改善</w:t>
      </w:r>
      <w:proofErr w:type="gramEnd"/>
      <w:r w:rsidR="00CB6A86">
        <w:rPr>
          <w:rFonts w:hint="eastAsia"/>
        </w:rPr>
        <w:t>為止，甚至還可要董事個人負連帶損害賠償責任</w:t>
      </w:r>
      <w:r w:rsidR="00CB6A86">
        <w:rPr>
          <w:rStyle w:val="a5"/>
        </w:rPr>
        <w:footnoteReference w:id="2"/>
      </w:r>
      <w:r w:rsidR="00CB6A86">
        <w:rPr>
          <w:rFonts w:hint="eastAsia"/>
        </w:rPr>
        <w:t>。</w:t>
      </w:r>
      <w:r>
        <w:rPr>
          <w:rFonts w:hint="eastAsia"/>
        </w:rPr>
        <w:t>有沒有「信託」，頂多差別只是有無增加多一層的受託機關同意，根本沒有實質</w:t>
      </w:r>
      <w:r w:rsidR="00CB6A86">
        <w:rPr>
          <w:rFonts w:hint="eastAsia"/>
        </w:rPr>
        <w:t>差別</w:t>
      </w:r>
      <w:r>
        <w:rPr>
          <w:rFonts w:hint="eastAsia"/>
        </w:rPr>
        <w:t>！</w:t>
      </w:r>
    </w:p>
    <w:p w:rsidR="006D5509" w:rsidRDefault="006D5509" w:rsidP="006D5509">
      <w:pPr>
        <w:rPr>
          <w:rFonts w:hint="eastAsia"/>
        </w:rPr>
      </w:pPr>
    </w:p>
    <w:p w:rsidR="00DD336C" w:rsidRPr="00196D69" w:rsidRDefault="00196D69" w:rsidP="006D5509">
      <w:pPr>
        <w:rPr>
          <w:rFonts w:hint="eastAsia"/>
          <w:b/>
        </w:rPr>
      </w:pPr>
      <w:r>
        <w:rPr>
          <w:rFonts w:hint="eastAsia"/>
          <w:b/>
        </w:rPr>
        <w:t>禿鷹校董掏空學校　校產信託毫無功能</w:t>
      </w:r>
    </w:p>
    <w:p w:rsidR="00DD336C" w:rsidRPr="00196D69" w:rsidRDefault="00DD336C" w:rsidP="006D5509">
      <w:pPr>
        <w:rPr>
          <w:rFonts w:hint="eastAsia"/>
        </w:rPr>
      </w:pPr>
    </w:p>
    <w:p w:rsidR="00DE1E2C" w:rsidRDefault="00DE1E2C" w:rsidP="00CB6A86">
      <w:pPr>
        <w:ind w:firstLineChars="200" w:firstLine="480"/>
        <w:rPr>
          <w:rFonts w:hint="eastAsia"/>
        </w:rPr>
      </w:pPr>
      <w:r>
        <w:rPr>
          <w:rFonts w:hint="eastAsia"/>
        </w:rPr>
        <w:t>實際上，對於如同</w:t>
      </w:r>
      <w:proofErr w:type="gramStart"/>
      <w:r>
        <w:rPr>
          <w:rFonts w:hint="eastAsia"/>
        </w:rPr>
        <w:t>怡</w:t>
      </w:r>
      <w:proofErr w:type="gramEnd"/>
      <w:r>
        <w:rPr>
          <w:rFonts w:hint="eastAsia"/>
        </w:rPr>
        <w:t>盛公司此</w:t>
      </w:r>
      <w:proofErr w:type="gramStart"/>
      <w:r>
        <w:rPr>
          <w:rFonts w:hint="eastAsia"/>
        </w:rPr>
        <w:t>種入主私</w:t>
      </w:r>
      <w:proofErr w:type="gramEnd"/>
      <w:r>
        <w:rPr>
          <w:rFonts w:hint="eastAsia"/>
        </w:rPr>
        <w:t>校董事會的禿鷹集團，其「牟利」手法往往並不是透過直接變賣校產。而是透過引進自身集團人員領取人事費用、向自身集團採購以輸送利益、藉學校停辦後「轉型」為社福機構（如長照機構）恣意收費（屆時也已不受私立學校法管制），或乾脆待學校停辦、清空師生後，把</w:t>
      </w:r>
      <w:r>
        <w:rPr>
          <w:rFonts w:hint="eastAsia"/>
        </w:rPr>
        <w:lastRenderedPageBreak/>
        <w:t>董事席次轉手賣給其他私立學校（包括私立小學、私立中學），而獲取巨大不正利益。而不動產有無被「強制信託」，對此種牟利舉動都毫無效用，反而是</w:t>
      </w:r>
      <w:r w:rsidR="00CB6A86">
        <w:rPr>
          <w:rFonts w:hint="eastAsia"/>
        </w:rPr>
        <w:t>蒙</w:t>
      </w:r>
      <w:r>
        <w:rPr>
          <w:rFonts w:hint="eastAsia"/>
        </w:rPr>
        <w:t>上「有在管」的假象！</w:t>
      </w:r>
    </w:p>
    <w:p w:rsidR="00DE1E2C" w:rsidRDefault="00DE1E2C" w:rsidP="006D5509">
      <w:pPr>
        <w:rPr>
          <w:rFonts w:hint="eastAsia"/>
        </w:rPr>
      </w:pPr>
    </w:p>
    <w:p w:rsidR="00196D69" w:rsidRPr="00196D69" w:rsidRDefault="00196D69" w:rsidP="006D5509">
      <w:pPr>
        <w:rPr>
          <w:rFonts w:hint="eastAsia"/>
          <w:b/>
        </w:rPr>
      </w:pPr>
      <w:proofErr w:type="gramStart"/>
      <w:r w:rsidRPr="00196D69">
        <w:rPr>
          <w:rFonts w:hint="eastAsia"/>
          <w:b/>
        </w:rPr>
        <w:t>永達惡例</w:t>
      </w:r>
      <w:proofErr w:type="gramEnd"/>
      <w:r w:rsidRPr="00196D69">
        <w:rPr>
          <w:rFonts w:hint="eastAsia"/>
          <w:b/>
        </w:rPr>
        <w:t xml:space="preserve">　</w:t>
      </w:r>
      <w:proofErr w:type="gramStart"/>
      <w:r w:rsidRPr="00196D69">
        <w:rPr>
          <w:rFonts w:hint="eastAsia"/>
          <w:b/>
        </w:rPr>
        <w:t>辦倒三年</w:t>
      </w:r>
      <w:proofErr w:type="gramEnd"/>
      <w:r w:rsidRPr="00196D69">
        <w:rPr>
          <w:rFonts w:hint="eastAsia"/>
          <w:b/>
        </w:rPr>
        <w:t>校董繼續花費上億！</w:t>
      </w:r>
      <w:r>
        <w:rPr>
          <w:rFonts w:hint="eastAsia"/>
          <w:b/>
        </w:rPr>
        <w:t>教育部充耳不聞！</w:t>
      </w:r>
    </w:p>
    <w:p w:rsidR="00196D69" w:rsidRDefault="00196D69" w:rsidP="006D5509">
      <w:pPr>
        <w:rPr>
          <w:rFonts w:hint="eastAsia"/>
        </w:rPr>
      </w:pPr>
    </w:p>
    <w:p w:rsidR="007657D0" w:rsidRPr="00196D69" w:rsidRDefault="007657D0" w:rsidP="007657D0">
      <w:pPr>
        <w:rPr>
          <w:szCs w:val="24"/>
        </w:rPr>
      </w:pPr>
      <w:r w:rsidRPr="007657D0">
        <w:rPr>
          <w:rFonts w:hint="eastAsia"/>
          <w:sz w:val="28"/>
          <w:szCs w:val="28"/>
        </w:rPr>
        <w:t xml:space="preserve">　</w:t>
      </w:r>
      <w:r w:rsidRPr="007657D0">
        <w:rPr>
          <w:rFonts w:hint="eastAsia"/>
          <w:szCs w:val="24"/>
        </w:rPr>
        <w:t xml:space="preserve">　舉例來說，已經停辦至今超過</w:t>
      </w:r>
      <w:r w:rsidRPr="007657D0">
        <w:rPr>
          <w:rFonts w:hint="eastAsia"/>
          <w:szCs w:val="24"/>
        </w:rPr>
        <w:t>3</w:t>
      </w:r>
      <w:r>
        <w:rPr>
          <w:rFonts w:hint="eastAsia"/>
          <w:szCs w:val="24"/>
        </w:rPr>
        <w:t>年的永達技術學院，其董事會至今依然安在。停辦</w:t>
      </w:r>
      <w:proofErr w:type="gramStart"/>
      <w:r>
        <w:rPr>
          <w:rFonts w:hint="eastAsia"/>
          <w:szCs w:val="24"/>
        </w:rPr>
        <w:t>時永達淨</w:t>
      </w:r>
      <w:proofErr w:type="gramEnd"/>
      <w:r>
        <w:rPr>
          <w:rFonts w:hint="eastAsia"/>
          <w:szCs w:val="24"/>
        </w:rPr>
        <w:t>資</w:t>
      </w:r>
      <w:r w:rsidRPr="007657D0">
        <w:rPr>
          <w:rFonts w:hint="eastAsia"/>
          <w:szCs w:val="24"/>
        </w:rPr>
        <w:t>產仍有</w:t>
      </w:r>
      <w:r>
        <w:rPr>
          <w:rFonts w:hint="eastAsia"/>
          <w:szCs w:val="24"/>
        </w:rPr>
        <w:t>12</w:t>
      </w:r>
      <w:r w:rsidRPr="007657D0">
        <w:rPr>
          <w:rFonts w:hint="eastAsia"/>
          <w:szCs w:val="24"/>
        </w:rPr>
        <w:t>億以上</w:t>
      </w:r>
      <w:r>
        <w:rPr>
          <w:rFonts w:hint="eastAsia"/>
          <w:szCs w:val="24"/>
        </w:rPr>
        <w:t>，但這間「停辦後的學校」</w:t>
      </w:r>
      <w:r>
        <w:rPr>
          <w:rFonts w:hint="eastAsia"/>
          <w:szCs w:val="24"/>
        </w:rPr>
        <w:t>3</w:t>
      </w:r>
      <w:r>
        <w:rPr>
          <w:rFonts w:hint="eastAsia"/>
          <w:szCs w:val="24"/>
        </w:rPr>
        <w:t>年來還「花掉</w:t>
      </w:r>
      <w:r>
        <w:rPr>
          <w:rFonts w:hint="eastAsia"/>
          <w:szCs w:val="24"/>
        </w:rPr>
        <w:t>3</w:t>
      </w:r>
      <w:r>
        <w:rPr>
          <w:rFonts w:hint="eastAsia"/>
          <w:szCs w:val="24"/>
        </w:rPr>
        <w:t>億以上」，光是所謂的「行政管理費用」，</w:t>
      </w:r>
      <w:r>
        <w:rPr>
          <w:rFonts w:hint="eastAsia"/>
          <w:szCs w:val="24"/>
        </w:rPr>
        <w:t>3</w:t>
      </w:r>
      <w:r>
        <w:rPr>
          <w:rFonts w:hint="eastAsia"/>
          <w:szCs w:val="24"/>
        </w:rPr>
        <w:t>年就花掉</w:t>
      </w:r>
      <w:r>
        <w:rPr>
          <w:rFonts w:hint="eastAsia"/>
          <w:szCs w:val="24"/>
        </w:rPr>
        <w:t>1</w:t>
      </w:r>
      <w:r>
        <w:rPr>
          <w:rFonts w:hint="eastAsia"/>
          <w:szCs w:val="24"/>
        </w:rPr>
        <w:t>億</w:t>
      </w:r>
      <w:r>
        <w:rPr>
          <w:rFonts w:hint="eastAsia"/>
          <w:szCs w:val="24"/>
        </w:rPr>
        <w:t>800</w:t>
      </w:r>
      <w:r>
        <w:rPr>
          <w:rFonts w:hint="eastAsia"/>
          <w:szCs w:val="24"/>
        </w:rPr>
        <w:t>萬！這都不涉及學校不動產的變賣，</w:t>
      </w:r>
      <w:r w:rsidR="00E623BE">
        <w:rPr>
          <w:rFonts w:hint="eastAsia"/>
          <w:szCs w:val="24"/>
        </w:rPr>
        <w:t>有無「信託」根本沒差！退場後，只要</w:t>
      </w:r>
      <w:r>
        <w:rPr>
          <w:rFonts w:hint="eastAsia"/>
          <w:szCs w:val="24"/>
        </w:rPr>
        <w:t>董事會</w:t>
      </w:r>
      <w:r w:rsidR="00E623BE">
        <w:rPr>
          <w:rFonts w:hint="eastAsia"/>
          <w:szCs w:val="24"/>
        </w:rPr>
        <w:t>不解散，始終</w:t>
      </w:r>
      <w:r>
        <w:rPr>
          <w:rFonts w:hint="eastAsia"/>
          <w:szCs w:val="24"/>
        </w:rPr>
        <w:t>有巨大的「獲利空間」。對於已有不正辦學紀錄的董事會</w:t>
      </w:r>
      <w:r w:rsidR="00E623BE">
        <w:rPr>
          <w:rFonts w:hint="eastAsia"/>
          <w:szCs w:val="24"/>
        </w:rPr>
        <w:t>如入主亞太學院的黃平璋等人</w:t>
      </w:r>
      <w:r>
        <w:rPr>
          <w:rFonts w:hint="eastAsia"/>
          <w:szCs w:val="24"/>
        </w:rPr>
        <w:t>，教育部</w:t>
      </w:r>
      <w:r w:rsidR="00E623BE">
        <w:rPr>
          <w:rFonts w:hint="eastAsia"/>
          <w:szCs w:val="24"/>
        </w:rPr>
        <w:t>還</w:t>
      </w:r>
      <w:r>
        <w:rPr>
          <w:rFonts w:hint="eastAsia"/>
          <w:szCs w:val="24"/>
        </w:rPr>
        <w:t>讓其「把</w:t>
      </w:r>
      <w:proofErr w:type="gramStart"/>
      <w:r>
        <w:rPr>
          <w:rFonts w:hint="eastAsia"/>
          <w:szCs w:val="24"/>
        </w:rPr>
        <w:t>學校辦倒後</w:t>
      </w:r>
      <w:proofErr w:type="gramEnd"/>
      <w:r>
        <w:rPr>
          <w:rFonts w:hint="eastAsia"/>
          <w:szCs w:val="24"/>
        </w:rPr>
        <w:t>」有此種空間，豈不是在為虎作倀？甚或是</w:t>
      </w:r>
      <w:r w:rsidR="00E623BE">
        <w:rPr>
          <w:rFonts w:hint="eastAsia"/>
          <w:szCs w:val="24"/>
        </w:rPr>
        <w:t>存有</w:t>
      </w:r>
      <w:r>
        <w:rPr>
          <w:rFonts w:hint="eastAsia"/>
          <w:szCs w:val="24"/>
        </w:rPr>
        <w:t>不正勾結！</w:t>
      </w:r>
      <w:r w:rsidR="00E623BE">
        <w:rPr>
          <w:rFonts w:hint="eastAsia"/>
          <w:szCs w:val="24"/>
        </w:rPr>
        <w:t>？</w:t>
      </w:r>
    </w:p>
    <w:p w:rsidR="007657D0" w:rsidRPr="007657D0" w:rsidRDefault="007657D0" w:rsidP="007657D0">
      <w:pPr>
        <w:jc w:val="center"/>
        <w:rPr>
          <w:szCs w:val="24"/>
        </w:rPr>
      </w:pPr>
      <w:r w:rsidRPr="007657D0">
        <w:rPr>
          <w:szCs w:val="24"/>
        </w:rPr>
        <w:t>表</w:t>
      </w:r>
      <w:r w:rsidRPr="007657D0">
        <w:rPr>
          <w:rFonts w:hint="eastAsia"/>
          <w:szCs w:val="24"/>
        </w:rPr>
        <w:t>一</w:t>
      </w:r>
      <w:r w:rsidRPr="007657D0">
        <w:rPr>
          <w:szCs w:val="24"/>
        </w:rPr>
        <w:t>、</w:t>
      </w:r>
      <w:r w:rsidRPr="007657D0">
        <w:rPr>
          <w:rFonts w:hint="eastAsia"/>
          <w:szCs w:val="24"/>
        </w:rPr>
        <w:t>永達技術學院</w:t>
      </w:r>
      <w:r w:rsidRPr="007657D0">
        <w:rPr>
          <w:szCs w:val="24"/>
        </w:rPr>
        <w:t>停辦後學校淨資產之變化</w:t>
      </w:r>
    </w:p>
    <w:tbl>
      <w:tblPr>
        <w:tblW w:w="10344" w:type="dxa"/>
        <w:tblInd w:w="-1014" w:type="dxa"/>
        <w:shd w:val="clear" w:color="auto" w:fill="FFFFFF"/>
        <w:tblCellMar>
          <w:left w:w="0" w:type="dxa"/>
          <w:right w:w="0" w:type="dxa"/>
        </w:tblCellMar>
        <w:tblLook w:val="04A0" w:firstRow="1" w:lastRow="0" w:firstColumn="1" w:lastColumn="0" w:noHBand="0" w:noVBand="1"/>
      </w:tblPr>
      <w:tblGrid>
        <w:gridCol w:w="2202"/>
        <w:gridCol w:w="2652"/>
        <w:gridCol w:w="7"/>
        <w:gridCol w:w="2811"/>
        <w:gridCol w:w="2672"/>
      </w:tblGrid>
      <w:tr w:rsidR="007657D0" w:rsidRPr="007657D0" w:rsidTr="00196D69">
        <w:trPr>
          <w:trHeight w:val="237"/>
        </w:trPr>
        <w:tc>
          <w:tcPr>
            <w:tcW w:w="2204"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學年度</w:t>
            </w:r>
          </w:p>
        </w:tc>
        <w:tc>
          <w:tcPr>
            <w:tcW w:w="265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資產總計（元）</w:t>
            </w:r>
          </w:p>
        </w:tc>
        <w:tc>
          <w:tcPr>
            <w:tcW w:w="2814" w:type="dxa"/>
            <w:gridSpan w:val="2"/>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負債合計（元）</w:t>
            </w:r>
          </w:p>
        </w:tc>
        <w:tc>
          <w:tcPr>
            <w:tcW w:w="267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淨資產合計（元）</w:t>
            </w:r>
          </w:p>
        </w:tc>
      </w:tr>
      <w:tr w:rsidR="007657D0" w:rsidRPr="007657D0" w:rsidTr="00DD336C">
        <w:tc>
          <w:tcPr>
            <w:tcW w:w="2204"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102</w:t>
            </w:r>
            <w:r w:rsidRPr="007657D0">
              <w:rPr>
                <w:szCs w:val="24"/>
              </w:rPr>
              <w:t>（停辦前）</w:t>
            </w:r>
          </w:p>
        </w:tc>
        <w:tc>
          <w:tcPr>
            <w:tcW w:w="265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1,555,138,815</w:t>
            </w:r>
          </w:p>
        </w:tc>
        <w:tc>
          <w:tcPr>
            <w:tcW w:w="2814" w:type="dxa"/>
            <w:gridSpan w:val="2"/>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294,092,276</w:t>
            </w:r>
          </w:p>
        </w:tc>
        <w:tc>
          <w:tcPr>
            <w:tcW w:w="267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1,261,046,539</w:t>
            </w:r>
          </w:p>
        </w:tc>
      </w:tr>
      <w:tr w:rsidR="007657D0" w:rsidRPr="007657D0" w:rsidTr="00DD336C">
        <w:tc>
          <w:tcPr>
            <w:tcW w:w="2204"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103</w:t>
            </w:r>
            <w:r w:rsidRPr="007657D0">
              <w:rPr>
                <w:rFonts w:hint="eastAsia"/>
                <w:szCs w:val="24"/>
              </w:rPr>
              <w:t>（停辦後）</w:t>
            </w:r>
          </w:p>
        </w:tc>
        <w:tc>
          <w:tcPr>
            <w:tcW w:w="265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1,191,705,029</w:t>
            </w:r>
          </w:p>
        </w:tc>
        <w:tc>
          <w:tcPr>
            <w:tcW w:w="2814" w:type="dxa"/>
            <w:gridSpan w:val="2"/>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104,048,813</w:t>
            </w:r>
          </w:p>
        </w:tc>
        <w:tc>
          <w:tcPr>
            <w:tcW w:w="267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1,087,656,216</w:t>
            </w:r>
          </w:p>
        </w:tc>
      </w:tr>
      <w:tr w:rsidR="007657D0" w:rsidRPr="007657D0" w:rsidTr="00DD336C">
        <w:tc>
          <w:tcPr>
            <w:tcW w:w="2204"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104</w:t>
            </w:r>
          </w:p>
        </w:tc>
        <w:tc>
          <w:tcPr>
            <w:tcW w:w="265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1,155,532,929</w:t>
            </w:r>
          </w:p>
        </w:tc>
        <w:tc>
          <w:tcPr>
            <w:tcW w:w="2814" w:type="dxa"/>
            <w:gridSpan w:val="2"/>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133,394,929</w:t>
            </w:r>
          </w:p>
        </w:tc>
        <w:tc>
          <w:tcPr>
            <w:tcW w:w="2673"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1,022,138,000</w:t>
            </w:r>
          </w:p>
        </w:tc>
      </w:tr>
      <w:tr w:rsidR="007657D0" w:rsidRPr="007657D0" w:rsidTr="00DD336C">
        <w:tc>
          <w:tcPr>
            <w:tcW w:w="2204"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105</w:t>
            </w:r>
          </w:p>
        </w:tc>
        <w:tc>
          <w:tcPr>
            <w:tcW w:w="2660" w:type="dxa"/>
            <w:gridSpan w:val="2"/>
            <w:tcBorders>
              <w:top w:val="single" w:sz="6" w:space="0" w:color="808080"/>
              <w:left w:val="single" w:sz="6" w:space="0" w:color="808080"/>
              <w:bottom w:val="single" w:sz="6" w:space="0" w:color="808080"/>
              <w:right w:val="single" w:sz="4" w:space="0" w:color="auto"/>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rFonts w:hint="eastAsia"/>
                <w:szCs w:val="24"/>
              </w:rPr>
              <w:t>1,105,659,931</w:t>
            </w:r>
          </w:p>
        </w:tc>
        <w:tc>
          <w:tcPr>
            <w:tcW w:w="2812" w:type="dxa"/>
            <w:tcBorders>
              <w:top w:val="single" w:sz="6" w:space="0" w:color="808080"/>
              <w:left w:val="single" w:sz="4" w:space="0" w:color="auto"/>
              <w:bottom w:val="single" w:sz="6" w:space="0" w:color="808080"/>
              <w:right w:val="single" w:sz="4" w:space="0" w:color="auto"/>
            </w:tcBorders>
            <w:shd w:val="clear" w:color="auto" w:fill="FFFFFF"/>
            <w:vAlign w:val="bottom"/>
          </w:tcPr>
          <w:p w:rsidR="007657D0" w:rsidRPr="007657D0" w:rsidRDefault="007657D0" w:rsidP="00DD336C">
            <w:pPr>
              <w:rPr>
                <w:szCs w:val="24"/>
              </w:rPr>
            </w:pPr>
            <w:r w:rsidRPr="007657D0">
              <w:rPr>
                <w:rFonts w:hint="eastAsia"/>
                <w:szCs w:val="24"/>
              </w:rPr>
              <w:t xml:space="preserve"> 153,690,072</w:t>
            </w:r>
          </w:p>
        </w:tc>
        <w:tc>
          <w:tcPr>
            <w:tcW w:w="2668" w:type="dxa"/>
            <w:tcBorders>
              <w:top w:val="single" w:sz="6" w:space="0" w:color="808080"/>
              <w:left w:val="single" w:sz="4" w:space="0" w:color="auto"/>
              <w:bottom w:val="single" w:sz="6" w:space="0" w:color="808080"/>
              <w:right w:val="single" w:sz="6" w:space="0" w:color="808080"/>
            </w:tcBorders>
            <w:shd w:val="clear" w:color="auto" w:fill="FFFFFF"/>
            <w:vAlign w:val="bottom"/>
          </w:tcPr>
          <w:p w:rsidR="007657D0" w:rsidRPr="007657D0" w:rsidRDefault="007657D0" w:rsidP="00DD336C">
            <w:pPr>
              <w:ind w:firstLineChars="150" w:firstLine="360"/>
              <w:rPr>
                <w:szCs w:val="24"/>
              </w:rPr>
            </w:pPr>
            <w:r w:rsidRPr="007657D0">
              <w:rPr>
                <w:rFonts w:hint="eastAsia"/>
                <w:szCs w:val="24"/>
              </w:rPr>
              <w:t>951,969,856</w:t>
            </w:r>
          </w:p>
        </w:tc>
      </w:tr>
      <w:tr w:rsidR="007657D0" w:rsidRPr="007657D0" w:rsidTr="00DD336C">
        <w:tc>
          <w:tcPr>
            <w:tcW w:w="2204"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淨資產減少</w:t>
            </w:r>
          </w:p>
        </w:tc>
        <w:tc>
          <w:tcPr>
            <w:tcW w:w="8140" w:type="dxa"/>
            <w:gridSpan w:val="4"/>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rFonts w:hint="eastAsia"/>
                <w:szCs w:val="24"/>
              </w:rPr>
              <w:t>309,076,683</w:t>
            </w:r>
          </w:p>
        </w:tc>
      </w:tr>
    </w:tbl>
    <w:p w:rsidR="007657D0" w:rsidRPr="00196D69" w:rsidRDefault="007657D0" w:rsidP="007657D0">
      <w:pPr>
        <w:jc w:val="right"/>
        <w:rPr>
          <w:rFonts w:hint="eastAsia"/>
          <w:sz w:val="20"/>
          <w:szCs w:val="20"/>
        </w:rPr>
      </w:pPr>
      <w:r w:rsidRPr="00196D69">
        <w:rPr>
          <w:rFonts w:hint="eastAsia"/>
          <w:sz w:val="20"/>
          <w:szCs w:val="20"/>
        </w:rPr>
        <w:t>資料來源：永達技術學院</w:t>
      </w:r>
    </w:p>
    <w:p w:rsidR="007657D0" w:rsidRPr="007657D0" w:rsidRDefault="007657D0" w:rsidP="007657D0">
      <w:pPr>
        <w:jc w:val="center"/>
        <w:rPr>
          <w:szCs w:val="24"/>
        </w:rPr>
      </w:pPr>
      <w:r w:rsidRPr="007657D0">
        <w:rPr>
          <w:szCs w:val="24"/>
        </w:rPr>
        <w:t>表</w:t>
      </w:r>
      <w:r w:rsidRPr="007657D0">
        <w:rPr>
          <w:rFonts w:hint="eastAsia"/>
          <w:szCs w:val="24"/>
        </w:rPr>
        <w:t>二</w:t>
      </w:r>
      <w:r w:rsidRPr="007657D0">
        <w:rPr>
          <w:szCs w:val="24"/>
        </w:rPr>
        <w:t>、</w:t>
      </w:r>
      <w:r w:rsidRPr="007657D0">
        <w:rPr>
          <w:rFonts w:hint="eastAsia"/>
          <w:szCs w:val="24"/>
        </w:rPr>
        <w:t>永達技術學院</w:t>
      </w:r>
      <w:r w:rsidRPr="007657D0">
        <w:rPr>
          <w:szCs w:val="24"/>
        </w:rPr>
        <w:t>停辦後每年度</w:t>
      </w:r>
      <w:r w:rsidRPr="007657D0">
        <w:rPr>
          <w:rFonts w:hint="eastAsia"/>
          <w:szCs w:val="24"/>
        </w:rPr>
        <w:t>行政管理支出</w:t>
      </w:r>
    </w:p>
    <w:tbl>
      <w:tblPr>
        <w:tblW w:w="10344" w:type="dxa"/>
        <w:tblInd w:w="-1014" w:type="dxa"/>
        <w:shd w:val="clear" w:color="auto" w:fill="FFFFFF"/>
        <w:tblCellMar>
          <w:left w:w="0" w:type="dxa"/>
          <w:right w:w="0" w:type="dxa"/>
        </w:tblCellMar>
        <w:tblLook w:val="04A0" w:firstRow="1" w:lastRow="0" w:firstColumn="1" w:lastColumn="0" w:noHBand="0" w:noVBand="1"/>
      </w:tblPr>
      <w:tblGrid>
        <w:gridCol w:w="5112"/>
        <w:gridCol w:w="5232"/>
      </w:tblGrid>
      <w:tr w:rsidR="007657D0" w:rsidRPr="007657D0" w:rsidTr="00DD336C">
        <w:tc>
          <w:tcPr>
            <w:tcW w:w="511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學年度</w:t>
            </w:r>
          </w:p>
        </w:tc>
        <w:tc>
          <w:tcPr>
            <w:tcW w:w="523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支出金額（元）</w:t>
            </w:r>
          </w:p>
        </w:tc>
      </w:tr>
      <w:tr w:rsidR="007657D0" w:rsidRPr="007657D0" w:rsidTr="00DD336C">
        <w:tc>
          <w:tcPr>
            <w:tcW w:w="511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tcPr>
          <w:p w:rsidR="007657D0" w:rsidRPr="007657D0" w:rsidRDefault="007657D0" w:rsidP="00DD336C">
            <w:pPr>
              <w:rPr>
                <w:szCs w:val="24"/>
              </w:rPr>
            </w:pPr>
            <w:r w:rsidRPr="007657D0">
              <w:rPr>
                <w:rFonts w:hint="eastAsia"/>
                <w:szCs w:val="24"/>
              </w:rPr>
              <w:t>102</w:t>
            </w:r>
            <w:r w:rsidRPr="007657D0">
              <w:rPr>
                <w:rFonts w:hint="eastAsia"/>
                <w:szCs w:val="24"/>
              </w:rPr>
              <w:t>（停辦前）</w:t>
            </w:r>
          </w:p>
        </w:tc>
        <w:tc>
          <w:tcPr>
            <w:tcW w:w="523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tcPr>
          <w:p w:rsidR="007657D0" w:rsidRPr="007657D0" w:rsidRDefault="007657D0" w:rsidP="00DD336C">
            <w:pPr>
              <w:rPr>
                <w:szCs w:val="24"/>
              </w:rPr>
            </w:pPr>
            <w:r w:rsidRPr="007657D0">
              <w:rPr>
                <w:rFonts w:hint="eastAsia"/>
                <w:szCs w:val="24"/>
              </w:rPr>
              <w:t>31,134,326</w:t>
            </w:r>
          </w:p>
        </w:tc>
      </w:tr>
      <w:tr w:rsidR="007657D0" w:rsidRPr="007657D0" w:rsidTr="00DD336C">
        <w:tc>
          <w:tcPr>
            <w:tcW w:w="511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103</w:t>
            </w:r>
            <w:r w:rsidRPr="007657D0">
              <w:rPr>
                <w:rFonts w:hint="eastAsia"/>
                <w:szCs w:val="24"/>
              </w:rPr>
              <w:t>（停辦後）</w:t>
            </w:r>
          </w:p>
        </w:tc>
        <w:tc>
          <w:tcPr>
            <w:tcW w:w="523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rFonts w:hint="eastAsia"/>
                <w:szCs w:val="24"/>
              </w:rPr>
              <w:t>24,563,228</w:t>
            </w:r>
          </w:p>
        </w:tc>
      </w:tr>
      <w:tr w:rsidR="007657D0" w:rsidRPr="007657D0" w:rsidTr="00DD336C">
        <w:tc>
          <w:tcPr>
            <w:tcW w:w="511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104</w:t>
            </w:r>
          </w:p>
        </w:tc>
        <w:tc>
          <w:tcPr>
            <w:tcW w:w="523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rFonts w:hint="eastAsia"/>
                <w:szCs w:val="24"/>
              </w:rPr>
              <w:t>20,787,580</w:t>
            </w:r>
          </w:p>
        </w:tc>
      </w:tr>
      <w:tr w:rsidR="007657D0" w:rsidRPr="007657D0" w:rsidTr="00DD336C">
        <w:tc>
          <w:tcPr>
            <w:tcW w:w="511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105</w:t>
            </w:r>
          </w:p>
        </w:tc>
        <w:tc>
          <w:tcPr>
            <w:tcW w:w="523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rFonts w:hint="eastAsia"/>
                <w:szCs w:val="24"/>
              </w:rPr>
              <w:t>62,695,356</w:t>
            </w:r>
          </w:p>
        </w:tc>
      </w:tr>
      <w:tr w:rsidR="007657D0" w:rsidRPr="007657D0" w:rsidTr="00DD336C">
        <w:tc>
          <w:tcPr>
            <w:tcW w:w="511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szCs w:val="24"/>
              </w:rPr>
              <w:t>總計</w:t>
            </w:r>
            <w:r w:rsidRPr="007657D0">
              <w:rPr>
                <w:rFonts w:hint="eastAsia"/>
                <w:szCs w:val="24"/>
              </w:rPr>
              <w:t>（</w:t>
            </w:r>
            <w:r w:rsidRPr="007657D0">
              <w:rPr>
                <w:rFonts w:hint="eastAsia"/>
                <w:szCs w:val="24"/>
              </w:rPr>
              <w:t>103-105</w:t>
            </w:r>
            <w:r w:rsidRPr="007657D0">
              <w:rPr>
                <w:rFonts w:hint="eastAsia"/>
                <w:szCs w:val="24"/>
              </w:rPr>
              <w:t>）</w:t>
            </w:r>
          </w:p>
        </w:tc>
        <w:tc>
          <w:tcPr>
            <w:tcW w:w="5232"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vAlign w:val="bottom"/>
            <w:hideMark/>
          </w:tcPr>
          <w:p w:rsidR="007657D0" w:rsidRPr="007657D0" w:rsidRDefault="007657D0" w:rsidP="00DD336C">
            <w:pPr>
              <w:rPr>
                <w:szCs w:val="24"/>
              </w:rPr>
            </w:pPr>
            <w:r w:rsidRPr="007657D0">
              <w:rPr>
                <w:rFonts w:hint="eastAsia"/>
                <w:szCs w:val="24"/>
              </w:rPr>
              <w:t>108,046,164</w:t>
            </w:r>
          </w:p>
        </w:tc>
      </w:tr>
    </w:tbl>
    <w:p w:rsidR="004D3188" w:rsidRPr="00196D69" w:rsidRDefault="007657D0" w:rsidP="007657D0">
      <w:pPr>
        <w:jc w:val="right"/>
        <w:rPr>
          <w:sz w:val="20"/>
          <w:szCs w:val="20"/>
        </w:rPr>
      </w:pPr>
      <w:r w:rsidRPr="00196D69">
        <w:rPr>
          <w:rFonts w:hint="eastAsia"/>
          <w:sz w:val="20"/>
          <w:szCs w:val="20"/>
        </w:rPr>
        <w:lastRenderedPageBreak/>
        <w:t>資料來源：永達技術學院</w:t>
      </w:r>
    </w:p>
    <w:p w:rsidR="004D3188" w:rsidRPr="00CB6A86" w:rsidRDefault="004D3188" w:rsidP="006D5509">
      <w:pPr>
        <w:rPr>
          <w:rFonts w:hint="eastAsia"/>
        </w:rPr>
      </w:pPr>
    </w:p>
    <w:p w:rsidR="00DE1E2C" w:rsidRDefault="00DE1E2C" w:rsidP="00CB6A86">
      <w:pPr>
        <w:ind w:firstLineChars="200" w:firstLine="480"/>
      </w:pPr>
      <w:r>
        <w:rPr>
          <w:rFonts w:hint="eastAsia"/>
        </w:rPr>
        <w:t>當前亞太師生已透過不斷陳情，表達其學生被迫轉學、專業課程</w:t>
      </w:r>
      <w:proofErr w:type="gramStart"/>
      <w:r>
        <w:rPr>
          <w:rFonts w:hint="eastAsia"/>
        </w:rPr>
        <w:t>未開足</w:t>
      </w:r>
      <w:proofErr w:type="gramEnd"/>
      <w:r>
        <w:rPr>
          <w:rFonts w:hint="eastAsia"/>
        </w:rPr>
        <w:t>、違規</w:t>
      </w:r>
      <w:proofErr w:type="gramStart"/>
      <w:r>
        <w:rPr>
          <w:rFonts w:hint="eastAsia"/>
        </w:rPr>
        <w:t>併</w:t>
      </w:r>
      <w:proofErr w:type="gramEnd"/>
      <w:r>
        <w:rPr>
          <w:rFonts w:hint="eastAsia"/>
        </w:rPr>
        <w:t>班授課、教師遭違法欠減薪、學校與</w:t>
      </w:r>
      <w:proofErr w:type="gramStart"/>
      <w:r>
        <w:rPr>
          <w:rFonts w:hint="eastAsia"/>
        </w:rPr>
        <w:t>怡</w:t>
      </w:r>
      <w:proofErr w:type="gramEnd"/>
      <w:r>
        <w:rPr>
          <w:rFonts w:hint="eastAsia"/>
        </w:rPr>
        <w:t>盛公司不正採購等狀況，再再顯示</w:t>
      </w:r>
      <w:proofErr w:type="gramStart"/>
      <w:r>
        <w:rPr>
          <w:rFonts w:hint="eastAsia"/>
        </w:rPr>
        <w:t>怡</w:t>
      </w:r>
      <w:proofErr w:type="gramEnd"/>
      <w:r>
        <w:rPr>
          <w:rFonts w:hint="eastAsia"/>
        </w:rPr>
        <w:t>盛公司從無辦學意願、只為圖謀利益的「司馬昭之心」，可謂昭然若揭，難道只有教育部看不到？甚至還配合其</w:t>
      </w:r>
      <w:bookmarkStart w:id="0" w:name="_GoBack"/>
      <w:bookmarkEnd w:id="0"/>
      <w:r>
        <w:rPr>
          <w:rFonts w:hint="eastAsia"/>
        </w:rPr>
        <w:t>積極把學校「</w:t>
      </w:r>
      <w:proofErr w:type="gramStart"/>
      <w:r>
        <w:rPr>
          <w:rFonts w:hint="eastAsia"/>
        </w:rPr>
        <w:t>停招</w:t>
      </w:r>
      <w:proofErr w:type="gramEnd"/>
      <w:r>
        <w:rPr>
          <w:rFonts w:hint="eastAsia"/>
        </w:rPr>
        <w:t>」、「</w:t>
      </w:r>
      <w:proofErr w:type="gramStart"/>
      <w:r>
        <w:rPr>
          <w:rFonts w:hint="eastAsia"/>
        </w:rPr>
        <w:t>扣獎補助</w:t>
      </w:r>
      <w:proofErr w:type="gramEnd"/>
      <w:r>
        <w:rPr>
          <w:rFonts w:hint="eastAsia"/>
        </w:rPr>
        <w:t>款」，</w:t>
      </w:r>
      <w:r w:rsidR="00CB6A86">
        <w:rPr>
          <w:rFonts w:hint="eastAsia"/>
        </w:rPr>
        <w:t>不過是在「懲罰師生」，</w:t>
      </w:r>
      <w:r>
        <w:rPr>
          <w:rFonts w:hint="eastAsia"/>
        </w:rPr>
        <w:t>加速把學校退場，讓</w:t>
      </w:r>
      <w:proofErr w:type="gramStart"/>
      <w:r>
        <w:rPr>
          <w:rFonts w:hint="eastAsia"/>
        </w:rPr>
        <w:t>怡</w:t>
      </w:r>
      <w:proofErr w:type="gramEnd"/>
      <w:r>
        <w:rPr>
          <w:rFonts w:hint="eastAsia"/>
        </w:rPr>
        <w:t>盛獲利了結？</w:t>
      </w:r>
    </w:p>
    <w:p w:rsidR="00DE1E2C" w:rsidRDefault="00DE1E2C" w:rsidP="006D5509">
      <w:pPr>
        <w:rPr>
          <w:rFonts w:hint="eastAsia"/>
        </w:rPr>
      </w:pPr>
    </w:p>
    <w:p w:rsidR="00196D69" w:rsidRPr="00196D69" w:rsidRDefault="00196D69" w:rsidP="006D5509">
      <w:pPr>
        <w:rPr>
          <w:rFonts w:hint="eastAsia"/>
          <w:b/>
        </w:rPr>
      </w:pPr>
      <w:r w:rsidRPr="00196D69">
        <w:rPr>
          <w:rFonts w:hint="eastAsia"/>
          <w:b/>
        </w:rPr>
        <w:t>解散違法禿鷹董事會　接管學校</w:t>
      </w:r>
      <w:r>
        <w:rPr>
          <w:rFonts w:hint="eastAsia"/>
          <w:b/>
        </w:rPr>
        <w:t>才是唯一出路！</w:t>
      </w:r>
    </w:p>
    <w:p w:rsidR="00196D69" w:rsidRPr="00DE1E2C" w:rsidRDefault="00196D69" w:rsidP="006D5509">
      <w:pPr>
        <w:rPr>
          <w:rFonts w:hint="eastAsia"/>
        </w:rPr>
      </w:pPr>
    </w:p>
    <w:p w:rsidR="004D3188" w:rsidRDefault="00CB6A86" w:rsidP="004D3188">
      <w:r>
        <w:rPr>
          <w:rFonts w:hint="eastAsia"/>
        </w:rPr>
        <w:t xml:space="preserve">　　</w:t>
      </w:r>
      <w:r w:rsidR="00DE1E2C">
        <w:rPr>
          <w:rFonts w:hint="eastAsia"/>
        </w:rPr>
        <w:t>對於不正辦學</w:t>
      </w:r>
      <w:r>
        <w:rPr>
          <w:rFonts w:hint="eastAsia"/>
        </w:rPr>
        <w:t>、甚至拋棄學生強逼轉學</w:t>
      </w:r>
      <w:r w:rsidR="00DE1E2C">
        <w:rPr>
          <w:rFonts w:hint="eastAsia"/>
        </w:rPr>
        <w:t>的私校董事會，私立學校法第</w:t>
      </w:r>
      <w:r w:rsidR="00DE1E2C">
        <w:rPr>
          <w:rFonts w:hint="eastAsia"/>
        </w:rPr>
        <w:t>25</w:t>
      </w:r>
      <w:r w:rsidR="00DE1E2C">
        <w:rPr>
          <w:rFonts w:hint="eastAsia"/>
        </w:rPr>
        <w:t>條</w:t>
      </w:r>
      <w:r>
        <w:rPr>
          <w:rFonts w:hint="eastAsia"/>
        </w:rPr>
        <w:t>已有明確的規範，出路就是由教育部向法院聲請「解散董事會」，並改由公正人士重組，</w:t>
      </w:r>
      <w:r w:rsidR="004D3188">
        <w:rPr>
          <w:rFonts w:hint="eastAsia"/>
        </w:rPr>
        <w:t>才能</w:t>
      </w:r>
      <w:r>
        <w:rPr>
          <w:rFonts w:hint="eastAsia"/>
        </w:rPr>
        <w:t>維護師生權益</w:t>
      </w:r>
      <w:r>
        <w:rPr>
          <w:rStyle w:val="a5"/>
        </w:rPr>
        <w:footnoteReference w:id="3"/>
      </w:r>
      <w:r>
        <w:rPr>
          <w:rFonts w:hint="eastAsia"/>
        </w:rPr>
        <w:t>。</w:t>
      </w:r>
    </w:p>
    <w:p w:rsidR="006D5509" w:rsidRDefault="006D5509" w:rsidP="006D5509">
      <w:pPr>
        <w:rPr>
          <w:rFonts w:hint="eastAsia"/>
        </w:rPr>
      </w:pPr>
    </w:p>
    <w:p w:rsidR="004D3188" w:rsidRDefault="004D3188" w:rsidP="006D5509">
      <w:pPr>
        <w:rPr>
          <w:rFonts w:hint="eastAsia"/>
        </w:rPr>
      </w:pPr>
      <w:r>
        <w:rPr>
          <w:rFonts w:hint="eastAsia"/>
        </w:rPr>
        <w:t xml:space="preserve">　　</w:t>
      </w:r>
      <w:r w:rsidR="007657D0">
        <w:rPr>
          <w:rFonts w:hint="eastAsia"/>
        </w:rPr>
        <w:t>為了維護亞太學院師生的基本權益，以及確保私立學校</w:t>
      </w:r>
      <w:proofErr w:type="gramStart"/>
      <w:r w:rsidR="007657D0">
        <w:rPr>
          <w:rFonts w:hint="eastAsia"/>
        </w:rPr>
        <w:t>不</w:t>
      </w:r>
      <w:proofErr w:type="gramEnd"/>
      <w:r w:rsidR="007657D0">
        <w:rPr>
          <w:rFonts w:hint="eastAsia"/>
        </w:rPr>
        <w:t>淪為禿鷹財團覬覦的對象，本月</w:t>
      </w:r>
      <w:r w:rsidR="007657D0">
        <w:rPr>
          <w:rFonts w:hint="eastAsia"/>
        </w:rPr>
        <w:t>29</w:t>
      </w:r>
      <w:r w:rsidR="007657D0">
        <w:rPr>
          <w:rFonts w:hint="eastAsia"/>
        </w:rPr>
        <w:t>日亞太師生將再次走上街頭，帶著全校對董事會的「不信任投票」，要求教育部於月底前按承諾啟動解散董事會程序！未能喚回正當的教育環境，我們必將抗爭到底！</w:t>
      </w:r>
    </w:p>
    <w:p w:rsidR="007657D0" w:rsidRDefault="007657D0" w:rsidP="006D5509">
      <w:pPr>
        <w:rPr>
          <w:rFonts w:hint="eastAsia"/>
        </w:rPr>
      </w:pPr>
    </w:p>
    <w:p w:rsidR="007657D0" w:rsidRDefault="007657D0" w:rsidP="007657D0">
      <w:pPr>
        <w:rPr>
          <w:rFonts w:asciiTheme="minorEastAsia" w:hAnsiTheme="minorEastAsia"/>
        </w:rPr>
      </w:pPr>
      <w:r>
        <w:rPr>
          <w:rFonts w:asciiTheme="minorEastAsia" w:hAnsiTheme="minorEastAsia" w:hint="eastAsia"/>
        </w:rPr>
        <w:t>新聞聯絡人：</w:t>
      </w:r>
    </w:p>
    <w:p w:rsidR="007657D0" w:rsidRDefault="007657D0" w:rsidP="007657D0">
      <w:r>
        <w:rPr>
          <w:rFonts w:hint="eastAsia"/>
        </w:rPr>
        <w:t>林柏儀（高教工會組織部主任）</w:t>
      </w:r>
      <w:r>
        <w:rPr>
          <w:rFonts w:hint="eastAsia"/>
        </w:rPr>
        <w:t>0922796883</w:t>
      </w:r>
    </w:p>
    <w:p w:rsidR="007657D0" w:rsidRDefault="007657D0" w:rsidP="007657D0">
      <w:r>
        <w:rPr>
          <w:rFonts w:hint="eastAsia"/>
        </w:rPr>
        <w:t>黃老師（亞太創意技術學院老師）</w:t>
      </w:r>
      <w:r>
        <w:rPr>
          <w:rFonts w:hint="eastAsia"/>
        </w:rPr>
        <w:t>0920370272</w:t>
      </w:r>
    </w:p>
    <w:p w:rsidR="007657D0" w:rsidRDefault="007657D0" w:rsidP="007657D0">
      <w:r>
        <w:rPr>
          <w:rFonts w:hint="eastAsia"/>
        </w:rPr>
        <w:t>湯老師（亞太創意技術學院老師）</w:t>
      </w:r>
      <w:r>
        <w:rPr>
          <w:rFonts w:hint="eastAsia"/>
        </w:rPr>
        <w:t>0955997791</w:t>
      </w:r>
    </w:p>
    <w:p w:rsidR="007657D0" w:rsidRPr="007657D0" w:rsidRDefault="007657D0" w:rsidP="006D5509"/>
    <w:sectPr w:rsidR="007657D0" w:rsidRPr="007657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ED3" w:rsidRDefault="00C23ED3" w:rsidP="00CB6A86">
      <w:r>
        <w:separator/>
      </w:r>
    </w:p>
  </w:endnote>
  <w:endnote w:type="continuationSeparator" w:id="0">
    <w:p w:rsidR="00C23ED3" w:rsidRDefault="00C23ED3" w:rsidP="00CB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ED3" w:rsidRDefault="00C23ED3" w:rsidP="00CB6A86">
      <w:r>
        <w:separator/>
      </w:r>
    </w:p>
  </w:footnote>
  <w:footnote w:type="continuationSeparator" w:id="0">
    <w:p w:rsidR="00C23ED3" w:rsidRDefault="00C23ED3" w:rsidP="00CB6A86">
      <w:r>
        <w:continuationSeparator/>
      </w:r>
    </w:p>
  </w:footnote>
  <w:footnote w:id="1">
    <w:p w:rsidR="00DD336C" w:rsidRDefault="00DD336C">
      <w:pPr>
        <w:pStyle w:val="a3"/>
        <w:rPr>
          <w:rFonts w:hint="eastAsia"/>
        </w:rPr>
      </w:pPr>
      <w:r>
        <w:rPr>
          <w:rStyle w:val="a5"/>
        </w:rPr>
        <w:footnoteRef/>
      </w:r>
      <w:r w:rsidRPr="00CB6A86">
        <w:rPr>
          <w:rFonts w:hint="eastAsia"/>
        </w:rPr>
        <w:t>私立學校法第</w:t>
      </w:r>
      <w:r w:rsidRPr="00CB6A86">
        <w:rPr>
          <w:rFonts w:hint="eastAsia"/>
        </w:rPr>
        <w:t>49</w:t>
      </w:r>
      <w:r w:rsidRPr="00CB6A86">
        <w:rPr>
          <w:rFonts w:hint="eastAsia"/>
        </w:rPr>
        <w:t>條：「學校法人就不動產之處分或設定負擔，應經董事會之決議，並報經學校主管機關核轉法人主管機關核准後辦理；其購置或出租不動產者，亦同。</w:t>
      </w:r>
    </w:p>
  </w:footnote>
  <w:footnote w:id="2">
    <w:p w:rsidR="00DD336C" w:rsidRDefault="00DD336C">
      <w:pPr>
        <w:pStyle w:val="a3"/>
        <w:rPr>
          <w:rFonts w:hint="eastAsia"/>
        </w:rPr>
      </w:pPr>
      <w:r>
        <w:rPr>
          <w:rStyle w:val="a5"/>
        </w:rPr>
        <w:footnoteRef/>
      </w:r>
      <w:r w:rsidRPr="00CB6A86">
        <w:rPr>
          <w:rFonts w:hint="eastAsia"/>
        </w:rPr>
        <w:t>私立學校法第</w:t>
      </w:r>
      <w:r w:rsidRPr="00CB6A86">
        <w:rPr>
          <w:rFonts w:hint="eastAsia"/>
        </w:rPr>
        <w:t>80</w:t>
      </w:r>
      <w:r w:rsidRPr="00CB6A86">
        <w:rPr>
          <w:rFonts w:hint="eastAsia"/>
        </w:rPr>
        <w:t>條：「學校法人董事長、董事、監察人、私立學校校長、主辦及經辦相關業務之人員，執行職務時，致有下列情形之</w:t>
      </w:r>
      <w:proofErr w:type="gramStart"/>
      <w:r w:rsidRPr="00CB6A86">
        <w:rPr>
          <w:rFonts w:hint="eastAsia"/>
        </w:rPr>
        <w:t>一</w:t>
      </w:r>
      <w:proofErr w:type="gramEnd"/>
      <w:r w:rsidRPr="00CB6A86">
        <w:rPr>
          <w:rFonts w:hint="eastAsia"/>
        </w:rPr>
        <w:t>者，處上開行為人新臺幣三十萬元以上一百五十萬元以下罰鍰，並得按次處罰至改善為止：…五、違反第四十九條第一項、第二項或第五十三條第一項規定。…行為人有前項情形，而侵占、挪用或未依規定借用學校之設校基金或其他財產者，法人或學校主管機關應限期命學校法人促其歸還，屆期未處理，致學校法人損害者，由學校法人全體董事負連帶責任補足之。」</w:t>
      </w:r>
    </w:p>
  </w:footnote>
  <w:footnote w:id="3">
    <w:p w:rsidR="00DD336C" w:rsidRDefault="00DD336C" w:rsidP="00CB6A86">
      <w:pPr>
        <w:pStyle w:val="a3"/>
        <w:rPr>
          <w:rFonts w:hint="eastAsia"/>
        </w:rPr>
      </w:pPr>
      <w:r>
        <w:rPr>
          <w:rStyle w:val="a5"/>
        </w:rPr>
        <w:footnoteRef/>
      </w:r>
      <w:r>
        <w:rPr>
          <w:rFonts w:hint="eastAsia"/>
        </w:rPr>
        <w:t>私立學校法第</w:t>
      </w:r>
      <w:r>
        <w:rPr>
          <w:rFonts w:hint="eastAsia"/>
        </w:rPr>
        <w:t>25</w:t>
      </w:r>
      <w:r>
        <w:rPr>
          <w:rFonts w:hint="eastAsia"/>
        </w:rPr>
        <w:t>條第</w:t>
      </w:r>
      <w:r>
        <w:rPr>
          <w:rFonts w:hint="eastAsia"/>
        </w:rPr>
        <w:t>1</w:t>
      </w:r>
      <w:r>
        <w:rPr>
          <w:rFonts w:hint="eastAsia"/>
        </w:rPr>
        <w:t>項：「董事會、董事長、董事違反法令或捐助章程，致影響學校法人、所設私立學校校務之正常運作者，法人或學校</w:t>
      </w:r>
      <w:proofErr w:type="gramStart"/>
      <w:r>
        <w:rPr>
          <w:rFonts w:hint="eastAsia"/>
        </w:rPr>
        <w:t>主管機關應命其</w:t>
      </w:r>
      <w:proofErr w:type="gramEnd"/>
      <w:r>
        <w:rPr>
          <w:rFonts w:hint="eastAsia"/>
        </w:rPr>
        <w:t>限期改善，屆期未改善或改善無效者，法人主管機關經徵詢私立學校諮詢會意見後，得視事件性質，聲請法院於一定期間停止或解除學校法人董事長、部分或全體董事之職務。」同條第</w:t>
      </w:r>
      <w:r>
        <w:rPr>
          <w:rFonts w:hint="eastAsia"/>
        </w:rPr>
        <w:t>2</w:t>
      </w:r>
      <w:r>
        <w:rPr>
          <w:rFonts w:hint="eastAsia"/>
        </w:rPr>
        <w:t>項：「法院依前項規定解除全體董事職務時，法人主管機關應就原有董事或熱心教育之公正人士中指定若干人會同推選董事，重新組織董事會。」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9"/>
    <w:rsid w:val="00196D69"/>
    <w:rsid w:val="002A52BC"/>
    <w:rsid w:val="004D25F7"/>
    <w:rsid w:val="004D3188"/>
    <w:rsid w:val="004D6F9E"/>
    <w:rsid w:val="006D5509"/>
    <w:rsid w:val="007657D0"/>
    <w:rsid w:val="00A05316"/>
    <w:rsid w:val="00C23ED3"/>
    <w:rsid w:val="00CB6A86"/>
    <w:rsid w:val="00D35C52"/>
    <w:rsid w:val="00DD336C"/>
    <w:rsid w:val="00DE1E2C"/>
    <w:rsid w:val="00E623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B6A86"/>
    <w:pPr>
      <w:snapToGrid w:val="0"/>
    </w:pPr>
    <w:rPr>
      <w:sz w:val="20"/>
      <w:szCs w:val="20"/>
    </w:rPr>
  </w:style>
  <w:style w:type="character" w:customStyle="1" w:styleId="a4">
    <w:name w:val="註腳文字 字元"/>
    <w:basedOn w:val="a0"/>
    <w:link w:val="a3"/>
    <w:uiPriority w:val="99"/>
    <w:semiHidden/>
    <w:rsid w:val="00CB6A86"/>
    <w:rPr>
      <w:sz w:val="20"/>
      <w:szCs w:val="20"/>
    </w:rPr>
  </w:style>
  <w:style w:type="character" w:styleId="a5">
    <w:name w:val="footnote reference"/>
    <w:basedOn w:val="a0"/>
    <w:uiPriority w:val="99"/>
    <w:semiHidden/>
    <w:unhideWhenUsed/>
    <w:rsid w:val="00CB6A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B6A86"/>
    <w:pPr>
      <w:snapToGrid w:val="0"/>
    </w:pPr>
    <w:rPr>
      <w:sz w:val="20"/>
      <w:szCs w:val="20"/>
    </w:rPr>
  </w:style>
  <w:style w:type="character" w:customStyle="1" w:styleId="a4">
    <w:name w:val="註腳文字 字元"/>
    <w:basedOn w:val="a0"/>
    <w:link w:val="a3"/>
    <w:uiPriority w:val="99"/>
    <w:semiHidden/>
    <w:rsid w:val="00CB6A86"/>
    <w:rPr>
      <w:sz w:val="20"/>
      <w:szCs w:val="20"/>
    </w:rPr>
  </w:style>
  <w:style w:type="character" w:styleId="a5">
    <w:name w:val="footnote reference"/>
    <w:basedOn w:val="a0"/>
    <w:uiPriority w:val="99"/>
    <w:semiHidden/>
    <w:unhideWhenUsed/>
    <w:rsid w:val="00CB6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92C1-DE64-4558-82EC-6F5E4879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Por-Yee Lin</dc:creator>
  <cp:lastModifiedBy>Por-Yee Lin</cp:lastModifiedBy>
  <cp:revision>4</cp:revision>
  <dcterms:created xsi:type="dcterms:W3CDTF">2018-03-26T03:43:00Z</dcterms:created>
  <dcterms:modified xsi:type="dcterms:W3CDTF">2018-03-26T06:28:00Z</dcterms:modified>
</cp:coreProperties>
</file>